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 xml:space="preserve">León, Guanajuato, a 22 veintidós de marzo del año 2018 dos mil dieciocho. </w:t>
      </w: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r w:rsidRPr="0004004F">
        <w:rPr>
          <w:rFonts w:ascii="Century" w:eastAsia="Calibri" w:hAnsi="Century" w:cs="Times New Roman"/>
          <w:b/>
          <w:sz w:val="24"/>
          <w:szCs w:val="24"/>
          <w:lang w:val="es-ES" w:eastAsia="es-ES"/>
        </w:rPr>
        <w:t>V I S T O</w:t>
      </w:r>
      <w:r w:rsidRPr="0004004F">
        <w:rPr>
          <w:rFonts w:ascii="Century" w:eastAsia="Calibri" w:hAnsi="Century" w:cs="Times New Roman"/>
          <w:sz w:val="24"/>
          <w:szCs w:val="24"/>
          <w:lang w:val="es-ES" w:eastAsia="es-ES"/>
        </w:rPr>
        <w:t xml:space="preserve"> para resolver el expediente número </w:t>
      </w:r>
      <w:r w:rsidRPr="0004004F">
        <w:rPr>
          <w:rFonts w:ascii="Century" w:eastAsia="Calibri" w:hAnsi="Century" w:cs="Times New Roman"/>
          <w:b/>
          <w:sz w:val="24"/>
          <w:szCs w:val="24"/>
          <w:lang w:val="es-ES" w:eastAsia="es-ES"/>
        </w:rPr>
        <w:t>0521/2015-JN</w:t>
      </w:r>
      <w:r w:rsidRPr="0004004F">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D562D0">
        <w:rPr>
          <w:rFonts w:ascii="Century" w:eastAsia="Calibri" w:hAnsi="Century" w:cs="Times New Roman"/>
          <w:b/>
          <w:sz w:val="24"/>
          <w:szCs w:val="24"/>
          <w:lang w:val="es-ES" w:eastAsia="es-ES"/>
        </w:rPr>
        <w:t>*****</w:t>
      </w:r>
      <w:r w:rsidRPr="0004004F">
        <w:rPr>
          <w:rFonts w:ascii="Century" w:eastAsia="Calibri" w:hAnsi="Century" w:cs="Times New Roman"/>
          <w:b/>
          <w:sz w:val="24"/>
          <w:szCs w:val="24"/>
          <w:lang w:val="es-ES" w:eastAsia="es-ES"/>
        </w:rPr>
        <w:t>;</w:t>
      </w:r>
      <w:r w:rsidRPr="0004004F">
        <w:rPr>
          <w:rFonts w:ascii="Century" w:eastAsia="Calibri" w:hAnsi="Century" w:cs="Times New Roman"/>
          <w:sz w:val="24"/>
          <w:szCs w:val="24"/>
          <w:lang w:val="es-ES" w:eastAsia="es-ES"/>
        </w:rPr>
        <w:t xml:space="preserve"> y --------------------</w:t>
      </w: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8"/>
        <w:jc w:val="both"/>
        <w:rPr>
          <w:rFonts w:ascii="Century" w:eastAsia="Calibri" w:hAnsi="Century" w:cs="Calibri"/>
          <w:bCs/>
          <w:iCs/>
          <w:sz w:val="24"/>
          <w:szCs w:val="24"/>
          <w:lang w:val="es-ES" w:eastAsia="es-ES"/>
        </w:rPr>
      </w:pPr>
    </w:p>
    <w:p w:rsidR="0004004F" w:rsidRPr="0004004F" w:rsidRDefault="0004004F" w:rsidP="0004004F">
      <w:pPr>
        <w:spacing w:after="0" w:line="360" w:lineRule="auto"/>
        <w:ind w:firstLine="708"/>
        <w:jc w:val="center"/>
        <w:rPr>
          <w:rFonts w:ascii="Century" w:eastAsia="Calibri" w:hAnsi="Century" w:cs="Calibri"/>
          <w:b/>
          <w:bCs/>
          <w:iCs/>
          <w:sz w:val="24"/>
          <w:szCs w:val="24"/>
          <w:lang w:eastAsia="es-ES"/>
        </w:rPr>
      </w:pPr>
      <w:r w:rsidRPr="0004004F">
        <w:rPr>
          <w:rFonts w:ascii="Century" w:eastAsia="Calibri" w:hAnsi="Century" w:cs="Calibri"/>
          <w:b/>
          <w:bCs/>
          <w:iCs/>
          <w:sz w:val="24"/>
          <w:szCs w:val="24"/>
          <w:lang w:eastAsia="es-ES"/>
        </w:rPr>
        <w:t>C O N S I D E R A N D O :</w:t>
      </w:r>
    </w:p>
    <w:p w:rsidR="0004004F" w:rsidRPr="0004004F" w:rsidRDefault="0004004F" w:rsidP="0004004F">
      <w:pPr>
        <w:spacing w:after="0" w:line="360" w:lineRule="auto"/>
        <w:jc w:val="both"/>
        <w:rPr>
          <w:rFonts w:ascii="Century" w:eastAsia="Calibri" w:hAnsi="Century" w:cs="Calibri"/>
          <w:b/>
          <w:bCs/>
          <w:sz w:val="24"/>
          <w:szCs w:val="24"/>
          <w:lang w:eastAsia="es-ES"/>
        </w:rPr>
      </w:pPr>
      <w:bookmarkStart w:id="0" w:name="_GoBack"/>
      <w:bookmarkEnd w:id="0"/>
    </w:p>
    <w:p w:rsidR="0004004F" w:rsidRPr="0004004F" w:rsidRDefault="0004004F" w:rsidP="0004004F">
      <w:pPr>
        <w:spacing w:after="0" w:line="360" w:lineRule="auto"/>
        <w:ind w:firstLine="708"/>
        <w:jc w:val="both"/>
        <w:rPr>
          <w:rFonts w:ascii="Century" w:eastAsia="Calibri" w:hAnsi="Century" w:cs="Calibri"/>
          <w:sz w:val="24"/>
          <w:szCs w:val="24"/>
          <w:lang w:eastAsia="es-ES"/>
        </w:rPr>
      </w:pPr>
      <w:r w:rsidRPr="0004004F">
        <w:rPr>
          <w:rFonts w:ascii="Century" w:eastAsia="Calibri" w:hAnsi="Century" w:cs="Times New Roman"/>
          <w:b/>
          <w:sz w:val="24"/>
          <w:szCs w:val="24"/>
          <w:lang w:eastAsia="es-ES"/>
        </w:rPr>
        <w:t xml:space="preserve">SEGUNDO. </w:t>
      </w:r>
      <w:r w:rsidRPr="0004004F">
        <w:rPr>
          <w:rFonts w:ascii="Century" w:eastAsia="Calibri" w:hAnsi="Century" w:cs="Times New Roman"/>
          <w:sz w:val="24"/>
          <w:szCs w:val="24"/>
          <w:lang w:eastAsia="es-ES"/>
        </w:rPr>
        <w:t>El presente proceso administrativo fue promovido oportunamente, conforme a lo establecido en el artículo 263 del Código de Procedimiento y Justicia Administrativa para el Estado y los Municipios de Guanajuato, toda vez que la demanda fue presentada el día 17 diecisiete de junio del año 2015 dos mil quince, y el actor se hace sabedor del acto impugnado el 16 dieciséis de junio del mismo año. --------------------------------------</w:t>
      </w:r>
    </w:p>
    <w:p w:rsidR="0004004F" w:rsidRPr="0004004F" w:rsidRDefault="0004004F" w:rsidP="0004004F">
      <w:pPr>
        <w:spacing w:after="0" w:line="360" w:lineRule="auto"/>
        <w:ind w:firstLine="708"/>
        <w:jc w:val="both"/>
        <w:rPr>
          <w:rFonts w:ascii="Century" w:eastAsia="Calibri" w:hAnsi="Century" w:cs="Calibri"/>
          <w:b/>
          <w:bCs/>
          <w:sz w:val="24"/>
          <w:szCs w:val="24"/>
          <w:lang w:eastAsia="es-ES"/>
        </w:rPr>
      </w:pPr>
    </w:p>
    <w:p w:rsidR="0004004F" w:rsidRPr="0004004F" w:rsidRDefault="0004004F" w:rsidP="0004004F">
      <w:pPr>
        <w:spacing w:after="0" w:line="360" w:lineRule="auto"/>
        <w:ind w:firstLine="709"/>
        <w:jc w:val="both"/>
        <w:rPr>
          <w:rFonts w:ascii="Century" w:eastAsia="Calibri" w:hAnsi="Century" w:cs="Calibri"/>
          <w:sz w:val="24"/>
          <w:szCs w:val="24"/>
          <w:lang w:val="es-ES" w:eastAsia="es-ES"/>
        </w:rPr>
      </w:pPr>
      <w:r w:rsidRPr="0004004F">
        <w:rPr>
          <w:rFonts w:ascii="Century" w:eastAsia="Calibri" w:hAnsi="Century" w:cs="Calibri"/>
          <w:b/>
          <w:iCs/>
          <w:sz w:val="24"/>
          <w:szCs w:val="24"/>
          <w:lang w:val="es-ES" w:eastAsia="es-ES"/>
        </w:rPr>
        <w:t xml:space="preserve">TERCERO. </w:t>
      </w:r>
      <w:r w:rsidRPr="0004004F">
        <w:rPr>
          <w:rFonts w:ascii="Century" w:eastAsia="Calibri" w:hAnsi="Century" w:cs="Calibri"/>
          <w:sz w:val="24"/>
          <w:szCs w:val="24"/>
          <w:lang w:val="es-ES" w:eastAsia="es-ES"/>
        </w:rPr>
        <w:t xml:space="preserve">El acto impugnado se acredita con el original del oficio </w:t>
      </w:r>
      <w:r w:rsidRPr="0004004F">
        <w:rPr>
          <w:rFonts w:ascii="Century" w:eastAsia="Calibri" w:hAnsi="Century" w:cs="Times New Roman"/>
          <w:sz w:val="24"/>
          <w:szCs w:val="24"/>
          <w:lang w:val="es-ES" w:eastAsia="es-ES"/>
        </w:rPr>
        <w:t>TML/DGI/6396/2015 (Letra T letra M letra L letra D letra G letra I seis tres nueve seis dos mil quince) de fecha 23 veintitrés de abril del año 2015 dos mil quince,</w:t>
      </w:r>
      <w:r w:rsidRPr="0004004F">
        <w:rPr>
          <w:rFonts w:ascii="Century" w:eastAsia="Calibri" w:hAnsi="Century" w:cs="Calibri"/>
          <w:sz w:val="24"/>
          <w:szCs w:val="24"/>
          <w:lang w:val="es-ES" w:eastAsia="es-ES"/>
        </w:rPr>
        <w:t xml:space="preserve"> y el acuerdo de aceptación y protesta del cargo de perito, de fecha 24 veinticuatro de abril del año 2015 dos mil quince, documentos que obran en el sumario visibles a foja 12 doce y 13 trece y que merecen pleno valor probatorio, conforme a lo dispuesto en los artículos 78, 117, 118, 121 y 131 del Código de Procedimiento y Justicia Administrativa para el Estado y los Municipios de Guanajuato; toda vez que se trata de un documento público, expedido por un servidor público, en el ejercicio de sus funciones. ----------------------------------------</w:t>
      </w:r>
    </w:p>
    <w:p w:rsidR="0004004F" w:rsidRPr="0004004F" w:rsidRDefault="0004004F" w:rsidP="0004004F">
      <w:pPr>
        <w:spacing w:after="0" w:line="360" w:lineRule="auto"/>
        <w:ind w:firstLine="709"/>
        <w:jc w:val="both"/>
        <w:rPr>
          <w:rFonts w:ascii="Century" w:eastAsia="Calibri" w:hAnsi="Century" w:cs="Calibri"/>
          <w:sz w:val="24"/>
          <w:szCs w:val="24"/>
          <w:lang w:val="es-ES" w:eastAsia="es-ES"/>
        </w:rPr>
      </w:pP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En razón de lo anterior, se tiene por debidamente acreditada la existencia de los actos impugnados. ----------------------------------------------------------</w:t>
      </w:r>
    </w:p>
    <w:p w:rsidR="0004004F" w:rsidRPr="0004004F" w:rsidRDefault="0004004F" w:rsidP="0004004F">
      <w:pPr>
        <w:spacing w:after="0" w:line="360" w:lineRule="auto"/>
        <w:jc w:val="both"/>
        <w:rPr>
          <w:rFonts w:ascii="Century" w:eastAsia="Calibri" w:hAnsi="Century" w:cs="Calibri"/>
          <w:b/>
          <w:sz w:val="24"/>
          <w:szCs w:val="24"/>
          <w:lang w:val="es-ES" w:eastAsia="es-ES"/>
        </w:rPr>
      </w:pPr>
    </w:p>
    <w:p w:rsidR="0004004F" w:rsidRPr="0004004F" w:rsidRDefault="0004004F" w:rsidP="0004004F">
      <w:pPr>
        <w:spacing w:after="0" w:line="360" w:lineRule="auto"/>
        <w:ind w:firstLine="709"/>
        <w:jc w:val="both"/>
        <w:rPr>
          <w:rFonts w:ascii="Century" w:eastAsia="Calibri" w:hAnsi="Century" w:cs="Calibri"/>
          <w:b/>
          <w:bCs/>
          <w:iCs/>
          <w:sz w:val="24"/>
          <w:szCs w:val="24"/>
          <w:lang w:val="es-ES" w:eastAsia="es-ES"/>
        </w:rPr>
      </w:pPr>
      <w:r w:rsidRPr="0004004F">
        <w:rPr>
          <w:rFonts w:ascii="Century" w:eastAsia="Calibri" w:hAnsi="Century" w:cs="Calibri"/>
          <w:b/>
          <w:sz w:val="24"/>
          <w:szCs w:val="24"/>
          <w:lang w:val="es-ES" w:eastAsia="es-ES"/>
        </w:rPr>
        <w:t xml:space="preserve">CUARTO. </w:t>
      </w:r>
      <w:r w:rsidRPr="0004004F">
        <w:rPr>
          <w:rFonts w:ascii="Century" w:eastAsia="Calibri" w:hAnsi="Century" w:cs="Calibri"/>
          <w:bCs/>
          <w:iCs/>
          <w:sz w:val="24"/>
          <w:szCs w:val="24"/>
          <w:lang w:val="es-ES" w:eastAsia="es-ES"/>
        </w:rPr>
        <w:t xml:space="preserve">Ahora bien, por ser de examen preferente y de orden público, se analiza si se actualiza alguna de las causales de improcedencia o </w:t>
      </w:r>
      <w:r w:rsidRPr="0004004F">
        <w:rPr>
          <w:rFonts w:ascii="Century" w:eastAsia="Calibri" w:hAnsi="Century" w:cs="Calibri"/>
          <w:bCs/>
          <w:iCs/>
          <w:sz w:val="24"/>
          <w:szCs w:val="24"/>
          <w:lang w:val="es-ES" w:eastAsia="es-ES"/>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4004F">
        <w:rPr>
          <w:rFonts w:ascii="Century" w:eastAsia="Calibri" w:hAnsi="Century" w:cs="Calibri"/>
          <w:sz w:val="24"/>
          <w:szCs w:val="24"/>
          <w:lang w:val="es-ES" w:eastAsia="es-ES"/>
        </w:rPr>
        <w:t>. ----------------</w:t>
      </w:r>
      <w:r w:rsidRPr="0004004F">
        <w:rPr>
          <w:rFonts w:ascii="Century" w:eastAsia="Calibri" w:hAnsi="Century" w:cs="Calibri"/>
          <w:b/>
          <w:bCs/>
          <w:iCs/>
          <w:sz w:val="24"/>
          <w:szCs w:val="24"/>
          <w:lang w:val="es-ES" w:eastAsia="es-ES"/>
        </w:rPr>
        <w:t>---------------------------------------------------------</w:t>
      </w: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En tal contexto, se aprecia que la autoridad demandada no invoca alguna causal de improcedencia; sin embargo, se aprecia que en su contestación de demanda opone las siguientes excepciones y defensas: ----------</w:t>
      </w:r>
    </w:p>
    <w:p w:rsidR="0004004F" w:rsidRPr="0004004F" w:rsidRDefault="0004004F" w:rsidP="0004004F">
      <w:pPr>
        <w:spacing w:after="0" w:line="360" w:lineRule="auto"/>
        <w:ind w:firstLine="708"/>
        <w:jc w:val="both"/>
        <w:rPr>
          <w:rFonts w:ascii="Arial Narrow" w:eastAsia="Calibri" w:hAnsi="Arial Narrow" w:cs="Times New Roman"/>
          <w:color w:val="404040"/>
          <w:sz w:val="27"/>
          <w:szCs w:val="27"/>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Cabe señalar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no obstante lo anterior, a fin de no incurrir en violaciones procesales, se realizan las siguientes consideraciones respecto a las excepciones y defensas hechas valer por las autoridades demandadas. ----------</w:t>
      </w: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 xml:space="preserve">En tal sentido, se aprecia que la autoridad demandada, opone la excepción de falta de acción y carencia de derecho del demandante, con esta excepción la autoridad demandada busca que el actor acredite los hechos de su demanda en forma diversa a la confesión implícita que el demandado hiciera de los mismos mediante la aceptación correspondiente, en tal sentido, traducido al derecho administrativo, se interpreta que las autoridades hacen referencia a la carencia o falta de interés jurídico para demandar o inexistencia del acto, no obstante ello, la autoridad demandada omite expresar los argumentos con los cuales sustenta su manifestación, por lo que en la especie se determina que la parte actora si cuenta con interés jurídico para impugnar </w:t>
      </w:r>
      <w:r w:rsidRPr="0004004F">
        <w:rPr>
          <w:rFonts w:ascii="Century" w:eastAsia="Calibri" w:hAnsi="Century" w:cs="Calibri"/>
          <w:sz w:val="24"/>
          <w:szCs w:val="24"/>
          <w:lang w:val="es-ES" w:eastAsia="es-ES"/>
        </w:rPr>
        <w:t xml:space="preserve">el oficio </w:t>
      </w:r>
      <w:r w:rsidRPr="0004004F">
        <w:rPr>
          <w:rFonts w:ascii="Century" w:eastAsia="Calibri" w:hAnsi="Century" w:cs="Times New Roman"/>
          <w:sz w:val="24"/>
          <w:szCs w:val="24"/>
          <w:lang w:val="es-ES" w:eastAsia="es-ES"/>
        </w:rPr>
        <w:t xml:space="preserve">TML/DGI/6396/2015 (letra T letra M letra L diagonal letra D letra G letra I diagonal seis tres nueve seis diagonal dos cero uno cinco), ya que, aunque no va dirigido al justiciable, dicho acto es con la finalidad de que se lleve a cabo un avalúo al inmueble de su propiedad, mismo que fue embargado </w:t>
      </w:r>
      <w:r w:rsidRPr="0004004F">
        <w:rPr>
          <w:rFonts w:ascii="Century" w:eastAsia="Calibri" w:hAnsi="Century" w:cs="Times New Roman"/>
          <w:sz w:val="24"/>
          <w:szCs w:val="24"/>
          <w:lang w:val="es-ES" w:eastAsia="es-ES"/>
        </w:rPr>
        <w:lastRenderedPageBreak/>
        <w:t>dentro del Procedimiento Administrativo de Ejecución, en tal sentido, es que si se afecta la esfera jurídica del justiciable. ----------------------------------------------</w:t>
      </w: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9"/>
        <w:jc w:val="both"/>
        <w:rPr>
          <w:rFonts w:ascii="Century" w:eastAsia="Calibri" w:hAnsi="Century" w:cs="Times New Roman"/>
          <w:i/>
          <w:sz w:val="24"/>
          <w:szCs w:val="24"/>
          <w:lang w:val="es-ES" w:eastAsia="es-ES"/>
        </w:rPr>
      </w:pPr>
      <w:r w:rsidRPr="0004004F">
        <w:rPr>
          <w:rFonts w:ascii="Century" w:eastAsia="Calibri" w:hAnsi="Century" w:cs="Times New Roman"/>
          <w:sz w:val="24"/>
          <w:szCs w:val="24"/>
          <w:lang w:val="es-ES" w:eastAsia="es-ES"/>
        </w:rPr>
        <w:t xml:space="preserve">De igual manera las autoridades demandadas oponen la excepción de </w:t>
      </w:r>
      <w:r w:rsidRPr="0004004F">
        <w:rPr>
          <w:rFonts w:ascii="Century" w:eastAsia="Calibri" w:hAnsi="Century" w:cs="Times New Roman"/>
          <w:i/>
          <w:sz w:val="24"/>
          <w:szCs w:val="24"/>
          <w:lang w:val="es-ES" w:eastAsia="es-ES"/>
        </w:rPr>
        <w:t>“derivada de los artículos 136, 137 y 138 del Código de Procedimiento y Justicia Administrativa para el Estado y los Municipios de Guanajuato, toda vez, que el acto que la parte actora pretende impugnar reúne todos y cada uno de los requisitos de los numerales en cita …”</w:t>
      </w:r>
      <w:r w:rsidRPr="0004004F">
        <w:rPr>
          <w:rFonts w:ascii="Century" w:eastAsia="Calibri" w:hAnsi="Century" w:cs="Times New Roman"/>
          <w:sz w:val="24"/>
          <w:szCs w:val="24"/>
          <w:lang w:val="es-ES" w:eastAsia="es-ES"/>
        </w:rPr>
        <w:t>, dichas manifestaciones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04004F" w:rsidRPr="0004004F" w:rsidRDefault="0004004F" w:rsidP="0004004F">
      <w:pPr>
        <w:spacing w:after="0" w:line="360" w:lineRule="auto"/>
        <w:ind w:firstLine="709"/>
        <w:jc w:val="both"/>
        <w:rPr>
          <w:rFonts w:ascii="Arial Narrow" w:eastAsia="Calibri" w:hAnsi="Arial Narrow" w:cs="Times New Roman"/>
          <w:color w:val="404040"/>
          <w:sz w:val="27"/>
          <w:szCs w:val="27"/>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La autoridad demanda también opone como excepción la Nom Mutati Libeli,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legal, en consecuencia resulta improcedente la presente excepción. ---------------</w:t>
      </w: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 xml:space="preserve">Ante la improcedencia de las referidas excepciones y estimando que no se actualiza ninguna causal de improcedencia de las previstas en el citado artículo 261 del referido código, se procede al estudio de los conceptos de impugnación. ---------------------------------------------------------------------------------------- </w:t>
      </w:r>
    </w:p>
    <w:p w:rsidR="0004004F" w:rsidRPr="0004004F" w:rsidRDefault="0004004F" w:rsidP="0004004F">
      <w:pPr>
        <w:spacing w:after="0" w:line="360" w:lineRule="auto"/>
        <w:ind w:firstLine="708"/>
        <w:jc w:val="both"/>
        <w:rPr>
          <w:rFonts w:ascii="Century" w:eastAsia="Calibri" w:hAnsi="Century" w:cs="Calibri"/>
          <w:b/>
          <w:bCs/>
          <w:iCs/>
          <w:sz w:val="24"/>
          <w:szCs w:val="24"/>
          <w:lang w:val="es-ES" w:eastAsia="es-ES"/>
        </w:rPr>
      </w:pPr>
    </w:p>
    <w:p w:rsidR="0004004F" w:rsidRPr="0004004F" w:rsidRDefault="0004004F" w:rsidP="0004004F">
      <w:pPr>
        <w:spacing w:after="0" w:line="360" w:lineRule="auto"/>
        <w:ind w:firstLine="708"/>
        <w:jc w:val="both"/>
        <w:rPr>
          <w:rFonts w:ascii="Century" w:eastAsia="Calibri" w:hAnsi="Century" w:cs="Calibri"/>
          <w:sz w:val="24"/>
          <w:szCs w:val="24"/>
          <w:lang w:val="es-ES" w:eastAsia="es-ES"/>
        </w:rPr>
      </w:pPr>
      <w:r w:rsidRPr="0004004F">
        <w:rPr>
          <w:rFonts w:ascii="Century" w:eastAsia="Calibri" w:hAnsi="Century" w:cs="Calibri"/>
          <w:b/>
          <w:bCs/>
          <w:iCs/>
          <w:sz w:val="24"/>
          <w:szCs w:val="24"/>
          <w:lang w:val="es-ES" w:eastAsia="es-ES"/>
        </w:rPr>
        <w:t>QUINTO.</w:t>
      </w:r>
      <w:r w:rsidRPr="0004004F">
        <w:rPr>
          <w:rFonts w:ascii="Century" w:eastAsia="Calibri" w:hAnsi="Century" w:cs="Times New Roman"/>
          <w:sz w:val="24"/>
          <w:szCs w:val="24"/>
          <w:lang w:val="es-ES" w:eastAsia="es-ES"/>
        </w:rPr>
        <w:t xml:space="preserve"> </w:t>
      </w:r>
      <w:r w:rsidRPr="0004004F">
        <w:rPr>
          <w:rFonts w:ascii="Century" w:eastAsia="Calibri" w:hAnsi="Century" w:cs="Calibri"/>
          <w:bCs/>
          <w:iCs/>
          <w:sz w:val="24"/>
          <w:szCs w:val="24"/>
          <w:lang w:val="es-ES" w:eastAsia="es-ES"/>
        </w:rPr>
        <w:t>En</w:t>
      </w:r>
      <w:r w:rsidRPr="0004004F">
        <w:rPr>
          <w:rFonts w:ascii="Century" w:eastAsia="Calibri" w:hAnsi="Century" w:cs="Calibri"/>
          <w:sz w:val="24"/>
          <w:szCs w:val="24"/>
          <w:lang w:val="es-ES" w:eastAsia="es-ES"/>
        </w:rPr>
        <w:t xml:space="preserve"> cumplimiento a lo establecido en la fracción I del artículo 299 del Código de Procedimiento y Justicia Administrativa para el Estado y </w:t>
      </w:r>
      <w:r w:rsidRPr="0004004F">
        <w:rPr>
          <w:rFonts w:ascii="Century" w:eastAsia="Calibri" w:hAnsi="Century" w:cs="Calibri"/>
          <w:sz w:val="24"/>
          <w:szCs w:val="24"/>
          <w:lang w:val="es-ES" w:eastAsia="es-ES"/>
        </w:rPr>
        <w:lastRenderedPageBreak/>
        <w:t xml:space="preserve">los Municipios de Guanajuato, </w:t>
      </w:r>
      <w:r w:rsidRPr="0004004F">
        <w:rPr>
          <w:rFonts w:ascii="Century" w:eastAsia="Calibri" w:hAnsi="Century" w:cs="Calibri"/>
          <w:bCs/>
          <w:iCs/>
          <w:sz w:val="24"/>
          <w:szCs w:val="24"/>
          <w:lang w:val="es-ES" w:eastAsia="es-ES"/>
        </w:rPr>
        <w:t xml:space="preserve">este Juzgado </w:t>
      </w:r>
      <w:r w:rsidRPr="0004004F">
        <w:rPr>
          <w:rFonts w:ascii="Century" w:eastAsia="Calibri" w:hAnsi="Century" w:cs="Calibri"/>
          <w:sz w:val="24"/>
          <w:szCs w:val="24"/>
          <w:lang w:val="es-ES" w:eastAsia="es-ES"/>
        </w:rPr>
        <w:t xml:space="preserve">procede a fijar clara y precisamente los puntos controvertidos en el presente proceso administrativo. </w:t>
      </w:r>
    </w:p>
    <w:p w:rsidR="0004004F" w:rsidRPr="0004004F" w:rsidRDefault="0004004F" w:rsidP="0004004F">
      <w:pPr>
        <w:spacing w:after="0" w:line="360" w:lineRule="auto"/>
        <w:ind w:firstLine="708"/>
        <w:jc w:val="both"/>
        <w:rPr>
          <w:rFonts w:ascii="Century" w:eastAsia="Calibri" w:hAnsi="Century" w:cs="Calibri"/>
          <w:sz w:val="24"/>
          <w:szCs w:val="24"/>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De lo expuesto por el actor en su escrito de demanda, así como de las constancias que integran la causa administrativa que nos ocupa, se desprende que en fecha 16 dieciséis de junio del año 2015 dos mil quince, el actor se ostenta sabedor del oficio TML/DGI/6396/2015 (Letra T letra M letra L letra D letra G letra I seis tres nueve seis dos mil quince) de fecha 23 veintitrés de abril del año 2015 dos mil quince, mediante el cual se designa perito valuador, a fin de que emita dictamen respecto de un predio propiedad del actor ubicado en</w:t>
      </w:r>
      <w:r w:rsidRPr="0004004F">
        <w:rPr>
          <w:rFonts w:ascii="Century" w:eastAsia="Calibri" w:hAnsi="Century" w:cs="Times New Roman"/>
          <w:i/>
          <w:lang w:eastAsia="es-ES"/>
        </w:rPr>
        <w:t>“LOTE DE TERRENO FRACCIONAMIENTO LOMAS DEL CAMPESTRE PRIMERA SECCIÓN SEGUNDA ETAPA EN LOTE 38 MANZANA 10 con cuenta predial 01D002451001, con superficie de 360m2”</w:t>
      </w:r>
      <w:r w:rsidRPr="0004004F">
        <w:rPr>
          <w:rFonts w:ascii="Century" w:eastAsia="Calibri" w:hAnsi="Century" w:cs="Times New Roman"/>
          <w:sz w:val="24"/>
          <w:szCs w:val="24"/>
          <w:lang w:val="es-ES" w:eastAsia="es-ES"/>
        </w:rPr>
        <w:t>, mismo que fue embargado dentro del Procedimiento Administrativo de Ejecución, para hacer efectivo el crédito fiscal número según folio de infracción 185-7 (uno ocho cinco siete), 997-1 (nueve nueve siete uno), 2465-0 (dos cuatro seis cinco cero), 2973-0 (dos nueve siete tres cero), 8042-1 (ocho cero cuatro dos uno), 8050-1 (ocho cero cinco cero uno), 8395-0 (ocho tres nueve cinco cero), 10304-1 (uno cero tres cero cuatro uno), 10766-1 (uno cero siete seis seis uno), 27132-0 (dos siete uno tres dos cero), 27637-0 (dos siete seis tres siete cero), 30081-0 (tres cero cero ocho uno cero), 36580-0 (tres seis cinco ocho cero cero), 37229 -037972-0 (tres siete dos dos nueve cero tres siete nueve siete dos cero), de la multa impuesta por la dirección de Desarrollo Urbano, crédito fiscal cuyo cobro constituye el acto del que se duele el actor, al referir que no se le notificaron los proveídos de multa y/o infracciones. -----------------------------------------------------------------------------------</w:t>
      </w:r>
    </w:p>
    <w:p w:rsidR="0004004F" w:rsidRPr="0004004F" w:rsidRDefault="0004004F" w:rsidP="0004004F">
      <w:pPr>
        <w:tabs>
          <w:tab w:val="left" w:pos="1843"/>
        </w:tabs>
        <w:spacing w:after="0" w:line="360" w:lineRule="auto"/>
        <w:ind w:firstLine="709"/>
        <w:jc w:val="both"/>
        <w:rPr>
          <w:rFonts w:ascii="Calibri" w:eastAsia="Calibri" w:hAnsi="Calibri" w:cs="Times New Roman"/>
          <w:bCs/>
          <w:sz w:val="26"/>
          <w:szCs w:val="24"/>
          <w:lang w:val="es-ES" w:eastAsia="es-ES"/>
        </w:rPr>
      </w:pPr>
    </w:p>
    <w:p w:rsidR="0004004F" w:rsidRPr="0004004F" w:rsidRDefault="0004004F" w:rsidP="0004004F">
      <w:pPr>
        <w:spacing w:after="0" w:line="360" w:lineRule="auto"/>
        <w:ind w:firstLine="708"/>
        <w:jc w:val="both"/>
        <w:rPr>
          <w:rFonts w:ascii="Calibri" w:eastAsia="Calibri" w:hAnsi="Calibri" w:cs="Times New Roman"/>
          <w:bCs/>
          <w:sz w:val="26"/>
          <w:szCs w:val="27"/>
          <w:lang w:val="es-ES" w:eastAsia="es-ES"/>
        </w:rPr>
      </w:pPr>
      <w:r w:rsidRPr="0004004F">
        <w:rPr>
          <w:rFonts w:ascii="Century" w:eastAsia="Calibri" w:hAnsi="Century" w:cs="Calibri"/>
          <w:sz w:val="24"/>
          <w:szCs w:val="26"/>
          <w:lang w:val="es-ES" w:eastAsia="es-ES"/>
        </w:rPr>
        <w:t>Así las cosas, la “litis” planteada se hace consistir en determinar la legalidad o ilegalidad del P</w:t>
      </w:r>
      <w:r w:rsidRPr="0004004F">
        <w:rPr>
          <w:rFonts w:ascii="Century" w:eastAsia="Calibri" w:hAnsi="Century" w:cs="Times New Roman"/>
          <w:sz w:val="24"/>
          <w:szCs w:val="24"/>
          <w:lang w:val="es-ES" w:eastAsia="es-ES"/>
        </w:rPr>
        <w:t xml:space="preserve">rocedimiento Administrativo de Ejecución, del que deriva el  oficio </w:t>
      </w:r>
      <w:r w:rsidRPr="0004004F">
        <w:rPr>
          <w:rFonts w:ascii="Century" w:eastAsia="Calibri" w:hAnsi="Century" w:cs="Times New Roman"/>
          <w:bCs/>
          <w:sz w:val="24"/>
          <w:szCs w:val="27"/>
          <w:lang w:val="es-ES" w:eastAsia="es-ES"/>
        </w:rPr>
        <w:t xml:space="preserve">con número </w:t>
      </w:r>
      <w:r w:rsidRPr="0004004F">
        <w:rPr>
          <w:rFonts w:ascii="Century" w:eastAsia="Calibri" w:hAnsi="Century" w:cs="Times New Roman"/>
          <w:sz w:val="24"/>
          <w:szCs w:val="24"/>
          <w:lang w:val="es-ES" w:eastAsia="es-ES"/>
        </w:rPr>
        <w:t xml:space="preserve">TML/DGI/6396/2015 (Letra T letra M letra L letra D letra G letra I seis tres nueve seis dos mil quince) de fecha 23 veintitrés de abril del año 2015 dos mil quince, mediante el cual se designa perito valuador respecto al inmueble de su propiedad del impetrante, ubicado en </w:t>
      </w:r>
      <w:r w:rsidRPr="0004004F">
        <w:rPr>
          <w:rFonts w:ascii="Century" w:eastAsia="Calibri" w:hAnsi="Century" w:cs="Times New Roman"/>
          <w:i/>
          <w:lang w:eastAsia="es-ES"/>
        </w:rPr>
        <w:t xml:space="preserve">“LOTE DE TERRENO FRACCIONAMIENTO LOMAS DEL CAMPESTRE PRIMERA SECCIÓN SEGUNDA ETAPA EN LOTE 38 MANZANA 10 con cuenta predial 01D002451001, </w:t>
      </w:r>
      <w:r w:rsidRPr="0004004F">
        <w:rPr>
          <w:rFonts w:ascii="Century" w:eastAsia="Calibri" w:hAnsi="Century" w:cs="Times New Roman"/>
          <w:i/>
          <w:lang w:eastAsia="es-ES"/>
        </w:rPr>
        <w:lastRenderedPageBreak/>
        <w:t>con superficie de 360m2</w:t>
      </w:r>
      <w:r w:rsidRPr="0004004F">
        <w:rPr>
          <w:rFonts w:ascii="Century" w:eastAsia="Calibri" w:hAnsi="Century" w:cs="Times New Roman"/>
          <w:sz w:val="24"/>
          <w:szCs w:val="24"/>
          <w:lang w:val="es-ES" w:eastAsia="es-ES"/>
        </w:rPr>
        <w:t>, en virtud de que el actor niega lisa y llanamente se le haya notificado de manera personal la multa del cual deriva el crédito fiscal a que se hace referencia en el oficio. ------------------------------------------------------------</w:t>
      </w:r>
    </w:p>
    <w:p w:rsidR="0004004F" w:rsidRPr="0004004F" w:rsidRDefault="0004004F" w:rsidP="0004004F">
      <w:pPr>
        <w:tabs>
          <w:tab w:val="left" w:pos="1843"/>
        </w:tabs>
        <w:spacing w:after="0" w:line="360" w:lineRule="auto"/>
        <w:ind w:firstLine="709"/>
        <w:jc w:val="both"/>
        <w:rPr>
          <w:rFonts w:ascii="Century" w:eastAsia="Calibri" w:hAnsi="Century" w:cs="Times New Roman"/>
          <w:sz w:val="24"/>
          <w:szCs w:val="24"/>
          <w:lang w:eastAsia="es-ES"/>
        </w:rPr>
      </w:pPr>
    </w:p>
    <w:p w:rsidR="0004004F" w:rsidRPr="0004004F" w:rsidRDefault="0004004F" w:rsidP="0004004F">
      <w:pPr>
        <w:tabs>
          <w:tab w:val="left" w:pos="3975"/>
        </w:tabs>
        <w:spacing w:after="0" w:line="360" w:lineRule="auto"/>
        <w:ind w:firstLine="709"/>
        <w:jc w:val="both"/>
        <w:rPr>
          <w:rFonts w:ascii="Century" w:eastAsia="Calibri" w:hAnsi="Century" w:cs="Calibri"/>
          <w:sz w:val="24"/>
          <w:szCs w:val="24"/>
          <w:lang w:val="es-ES" w:eastAsia="es-ES"/>
        </w:rPr>
      </w:pPr>
      <w:r w:rsidRPr="0004004F">
        <w:rPr>
          <w:rFonts w:ascii="Century" w:eastAsia="Calibri" w:hAnsi="Century" w:cs="Calibri"/>
          <w:b/>
          <w:sz w:val="24"/>
          <w:szCs w:val="24"/>
          <w:lang w:val="es-ES" w:eastAsia="es-ES"/>
        </w:rPr>
        <w:t>SÉXTO.</w:t>
      </w:r>
      <w:r w:rsidRPr="0004004F">
        <w:rPr>
          <w:rFonts w:ascii="Century" w:eastAsia="Calibri" w:hAnsi="Century" w:cs="Calibri"/>
          <w:sz w:val="24"/>
          <w:szCs w:val="24"/>
          <w:lang w:val="es-ES" w:eastAsia="es-ES"/>
        </w:rPr>
        <w:t xml:space="preserve"> Una vez señalada la litis de la presente causa, se procede al análisis de los conceptos de impugnación.--------------------------------------------------</w:t>
      </w: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Resulta oportuno hacer énfasis que este Órgano Jurisdiccional tiene la obligación de realizar el análisis integral de la demanda, asumiendo como un todo los capítulos de hechos y conceptos de impugnación; así como el estudio de los documentos exhibidos, a fin de advertir de manera plena lo realmente planteado, en relación a la causa de pedir. ------------------------------------------------</w:t>
      </w: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En función a la causa de pedir quien resuelve esta constreñido a resolver la litis realmente planteada por el actor. ---------------------------------------------------</w:t>
      </w: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r w:rsidRPr="0004004F">
        <w:rPr>
          <w:rFonts w:ascii="Century" w:eastAsia="Calibri" w:hAnsi="Century" w:cs="Times New Roman"/>
          <w:bCs/>
          <w:i/>
          <w:iCs/>
          <w:sz w:val="24"/>
          <w:szCs w:val="24"/>
          <w:lang w:val="es-ES" w:eastAsia="es-ES"/>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9"/>
        <w:jc w:val="both"/>
        <w:rPr>
          <w:rFonts w:ascii="Calibri" w:eastAsia="Calibri" w:hAnsi="Calibri" w:cs="Times New Roman"/>
          <w:color w:val="7F7F7F"/>
          <w:sz w:val="26"/>
          <w:szCs w:val="26"/>
          <w:lang w:val="es-ES" w:eastAsia="es-ES"/>
        </w:rPr>
      </w:pPr>
      <w:r w:rsidRPr="0004004F">
        <w:rPr>
          <w:rFonts w:ascii="Century" w:eastAsia="Calibri" w:hAnsi="Century" w:cs="Times New Roman"/>
          <w:sz w:val="24"/>
          <w:szCs w:val="24"/>
          <w:lang w:val="es-ES" w:eastAsia="es-ES"/>
        </w:rPr>
        <w:lastRenderedPageBreak/>
        <w:t>Quien resuelve de manera primordial procederá al análisis de los conceptos de impugnación aplicando el principio de mayor consecuencia anulatoria de los actos impugnados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rsidR="0004004F" w:rsidRPr="0004004F" w:rsidRDefault="0004004F" w:rsidP="0004004F">
      <w:pPr>
        <w:spacing w:after="0" w:line="360" w:lineRule="auto"/>
        <w:ind w:firstLine="708"/>
        <w:jc w:val="both"/>
        <w:rPr>
          <w:rFonts w:ascii="Century" w:eastAsia="Calibri" w:hAnsi="Century" w:cs="Times New Roman"/>
          <w:sz w:val="24"/>
          <w:szCs w:val="24"/>
          <w:lang w:eastAsia="es-ES"/>
        </w:rPr>
      </w:pPr>
    </w:p>
    <w:p w:rsidR="0004004F" w:rsidRPr="0004004F" w:rsidRDefault="0004004F" w:rsidP="0004004F">
      <w:pPr>
        <w:spacing w:after="0" w:line="240" w:lineRule="auto"/>
        <w:ind w:firstLine="709"/>
        <w:jc w:val="both"/>
        <w:rPr>
          <w:rFonts w:ascii="Century" w:eastAsia="Calibri" w:hAnsi="Century" w:cs="Calibri"/>
          <w:bCs/>
          <w:i/>
          <w:iCs/>
          <w:sz w:val="24"/>
          <w:szCs w:val="24"/>
          <w:lang w:val="es-ES" w:eastAsia="es-ES"/>
        </w:rPr>
      </w:pPr>
      <w:r w:rsidRPr="0004004F">
        <w:rPr>
          <w:rFonts w:ascii="Century" w:eastAsia="Calibri" w:hAnsi="Century" w:cs="Times New Roman"/>
          <w:b/>
          <w:bCs/>
          <w:i/>
          <w:iCs/>
          <w:sz w:val="24"/>
          <w:szCs w:val="24"/>
          <w:lang w:val="es-ES" w:eastAsia="es-ES"/>
        </w:rPr>
        <w:t xml:space="preserve">“CONCEPTOS DE VIOLACIÓN. EL JUEZ NO ESTÁ OBLIGADO A TRANSCRIBIRLOS. </w:t>
      </w:r>
      <w:r w:rsidRPr="0004004F">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4004F">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04004F" w:rsidRPr="0004004F" w:rsidRDefault="0004004F" w:rsidP="0004004F">
      <w:pPr>
        <w:spacing w:after="0" w:line="240" w:lineRule="auto"/>
        <w:ind w:firstLine="709"/>
        <w:jc w:val="both"/>
        <w:rPr>
          <w:rFonts w:ascii="Century" w:eastAsia="Calibri" w:hAnsi="Century" w:cs="Calibri"/>
          <w:bCs/>
          <w:i/>
          <w:iCs/>
          <w:sz w:val="24"/>
          <w:szCs w:val="24"/>
          <w:lang w:val="es-ES" w:eastAsia="es-ES"/>
        </w:rPr>
      </w:pPr>
    </w:p>
    <w:p w:rsidR="0004004F" w:rsidRPr="0004004F" w:rsidRDefault="0004004F" w:rsidP="0004004F">
      <w:pPr>
        <w:spacing w:after="0" w:line="240" w:lineRule="auto"/>
        <w:ind w:firstLine="709"/>
        <w:jc w:val="both"/>
        <w:rPr>
          <w:rFonts w:ascii="Century" w:eastAsia="Calibri" w:hAnsi="Century" w:cs="Calibri"/>
          <w:bCs/>
          <w:i/>
          <w:iCs/>
          <w:sz w:val="24"/>
          <w:szCs w:val="24"/>
          <w:lang w:val="es-ES" w:eastAsia="es-ES"/>
        </w:rPr>
      </w:pPr>
    </w:p>
    <w:p w:rsidR="0004004F" w:rsidRPr="0004004F" w:rsidRDefault="0004004F" w:rsidP="0004004F">
      <w:pPr>
        <w:tabs>
          <w:tab w:val="left" w:pos="3975"/>
        </w:tabs>
        <w:spacing w:after="0" w:line="360" w:lineRule="auto"/>
        <w:ind w:firstLine="709"/>
        <w:jc w:val="both"/>
        <w:rPr>
          <w:rFonts w:ascii="Century" w:eastAsia="Calibri" w:hAnsi="Century" w:cs="Calibri"/>
          <w:sz w:val="24"/>
          <w:szCs w:val="24"/>
          <w:lang w:val="es-ES" w:eastAsia="es-ES"/>
        </w:rPr>
      </w:pPr>
      <w:r w:rsidRPr="0004004F">
        <w:rPr>
          <w:rFonts w:ascii="Century" w:eastAsia="Calibri" w:hAnsi="Century" w:cs="Calibri"/>
          <w:sz w:val="24"/>
          <w:szCs w:val="24"/>
          <w:lang w:val="es-ES" w:eastAsia="es-ES"/>
        </w:rPr>
        <w:t xml:space="preserve">Por tanto, quien juzga procede al análisis del concepto de impugnación,  señalado como PRIMERO considerando que el mismo resulta </w:t>
      </w:r>
      <w:r w:rsidRPr="0004004F">
        <w:rPr>
          <w:rFonts w:ascii="Century" w:eastAsia="Calibri" w:hAnsi="Century" w:cs="Calibri"/>
          <w:b/>
          <w:sz w:val="24"/>
          <w:szCs w:val="24"/>
          <w:lang w:val="es-ES" w:eastAsia="es-ES"/>
        </w:rPr>
        <w:t>FUNDADO</w:t>
      </w:r>
      <w:r w:rsidRPr="0004004F">
        <w:rPr>
          <w:rFonts w:ascii="Century" w:eastAsia="Calibri" w:hAnsi="Century" w:cs="Calibri"/>
          <w:sz w:val="24"/>
          <w:szCs w:val="24"/>
          <w:lang w:val="es-ES" w:eastAsia="es-ES"/>
        </w:rPr>
        <w:t xml:space="preserve"> y suficientes para decretar la nulidad total de los actos impugnados, en atención a los siguientes razonamientos: --------------------------------------------------------------</w:t>
      </w:r>
    </w:p>
    <w:p w:rsidR="0004004F" w:rsidRPr="0004004F" w:rsidRDefault="0004004F" w:rsidP="0004004F">
      <w:pPr>
        <w:tabs>
          <w:tab w:val="left" w:pos="3975"/>
        </w:tabs>
        <w:spacing w:after="0" w:line="360" w:lineRule="auto"/>
        <w:ind w:firstLine="709"/>
        <w:jc w:val="both"/>
        <w:rPr>
          <w:rFonts w:ascii="Century" w:eastAsia="Calibri" w:hAnsi="Century" w:cs="Calibri"/>
          <w:sz w:val="24"/>
          <w:szCs w:val="24"/>
          <w:lang w:val="es-ES" w:eastAsia="es-ES"/>
        </w:rPr>
      </w:pPr>
    </w:p>
    <w:p w:rsidR="0004004F" w:rsidRPr="0004004F" w:rsidRDefault="0004004F" w:rsidP="0004004F">
      <w:pPr>
        <w:tabs>
          <w:tab w:val="left" w:pos="3975"/>
        </w:tabs>
        <w:spacing w:after="0" w:line="360" w:lineRule="auto"/>
        <w:ind w:firstLine="709"/>
        <w:jc w:val="both"/>
        <w:rPr>
          <w:rFonts w:ascii="Century" w:eastAsia="Calibri" w:hAnsi="Century" w:cs="Calibri"/>
          <w:sz w:val="24"/>
          <w:szCs w:val="24"/>
          <w:lang w:val="es-ES" w:eastAsia="es-ES"/>
        </w:rPr>
      </w:pPr>
      <w:r w:rsidRPr="0004004F">
        <w:rPr>
          <w:rFonts w:ascii="Century" w:eastAsia="Calibri" w:hAnsi="Century" w:cs="Calibri"/>
          <w:sz w:val="24"/>
          <w:szCs w:val="24"/>
          <w:lang w:val="es-ES" w:eastAsia="es-ES"/>
        </w:rPr>
        <w:t>El actor en el primero de sus conceptos de impugnación niega lisa y llanamente que se le hayan notificado personalmente los proveídos de multa y/o infracciones que refiere en el hecho 01 uno, para continuar precisando, que luego y por tanto ignora y desconoce los motivos y fundamentos que relaciona en el hecho 02 dos. --------------------------------------------------------------------------------</w:t>
      </w:r>
    </w:p>
    <w:p w:rsidR="0004004F" w:rsidRPr="0004004F" w:rsidRDefault="0004004F" w:rsidP="0004004F">
      <w:pPr>
        <w:tabs>
          <w:tab w:val="left" w:pos="3975"/>
        </w:tabs>
        <w:spacing w:after="0" w:line="360" w:lineRule="auto"/>
        <w:ind w:firstLine="709"/>
        <w:jc w:val="both"/>
        <w:rPr>
          <w:rFonts w:ascii="Century" w:eastAsia="Calibri" w:hAnsi="Century" w:cs="Calibri"/>
          <w:sz w:val="24"/>
          <w:szCs w:val="24"/>
          <w:lang w:val="es-ES" w:eastAsia="es-ES"/>
        </w:rPr>
      </w:pPr>
    </w:p>
    <w:p w:rsidR="0004004F" w:rsidRPr="0004004F" w:rsidRDefault="0004004F" w:rsidP="0004004F">
      <w:pPr>
        <w:tabs>
          <w:tab w:val="left" w:pos="3975"/>
        </w:tabs>
        <w:spacing w:after="0" w:line="360" w:lineRule="auto"/>
        <w:ind w:firstLine="709"/>
        <w:jc w:val="both"/>
        <w:rPr>
          <w:rFonts w:ascii="Century" w:eastAsia="Calibri" w:hAnsi="Century" w:cs="Calibri"/>
          <w:sz w:val="24"/>
          <w:szCs w:val="24"/>
          <w:lang w:val="es-ES" w:eastAsia="es-ES"/>
        </w:rPr>
      </w:pPr>
      <w:r w:rsidRPr="0004004F">
        <w:rPr>
          <w:rFonts w:ascii="Century" w:eastAsia="Calibri" w:hAnsi="Century" w:cs="Calibri"/>
          <w:sz w:val="24"/>
          <w:szCs w:val="24"/>
          <w:lang w:val="es-ES" w:eastAsia="es-ES"/>
        </w:rPr>
        <w:t xml:space="preserve">Por su parte la autoridad demandada, respecto a dicho concepto de impugnación, argumenta que es inoperante e improcedente, ya que se dio </w:t>
      </w:r>
      <w:r w:rsidRPr="0004004F">
        <w:rPr>
          <w:rFonts w:ascii="Century" w:eastAsia="Calibri" w:hAnsi="Century" w:cs="Calibri"/>
          <w:sz w:val="24"/>
          <w:szCs w:val="24"/>
          <w:lang w:val="es-ES" w:eastAsia="es-ES"/>
        </w:rPr>
        <w:lastRenderedPageBreak/>
        <w:t>cumplimiento en todo momento con lo establecido en los artículos 137 y 138 del Código de Procedimiento y Justicia Administrativa para el Estado y los Municipios de Guanajuato. ---------------------------------------------------------------------</w:t>
      </w:r>
    </w:p>
    <w:p w:rsidR="0004004F" w:rsidRPr="0004004F" w:rsidRDefault="0004004F" w:rsidP="0004004F">
      <w:pPr>
        <w:tabs>
          <w:tab w:val="left" w:pos="3975"/>
        </w:tabs>
        <w:spacing w:after="0" w:line="360" w:lineRule="auto"/>
        <w:ind w:firstLine="709"/>
        <w:jc w:val="both"/>
        <w:rPr>
          <w:rFonts w:ascii="Century" w:eastAsia="Calibri" w:hAnsi="Century" w:cs="Calibri"/>
          <w:sz w:val="24"/>
          <w:szCs w:val="24"/>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eastAsia="es-ES"/>
        </w:rPr>
      </w:pPr>
      <w:r w:rsidRPr="0004004F">
        <w:rPr>
          <w:rFonts w:ascii="Century" w:eastAsia="Calibri" w:hAnsi="Century" w:cs="Times New Roman"/>
          <w:sz w:val="24"/>
          <w:szCs w:val="24"/>
          <w:lang w:eastAsia="es-ES"/>
        </w:rPr>
        <w:t xml:space="preserve">En el caso en particular, aunque el actor señala como acto impugnado el oficio número </w:t>
      </w:r>
      <w:r w:rsidRPr="0004004F">
        <w:rPr>
          <w:rFonts w:ascii="Century" w:eastAsia="Calibri" w:hAnsi="Century" w:cs="Times New Roman"/>
          <w:sz w:val="24"/>
          <w:szCs w:val="24"/>
          <w:lang w:val="es-ES" w:eastAsia="es-ES"/>
        </w:rPr>
        <w:t xml:space="preserve">TML/DGI/6396/2015 (Letra T letra M letra L letra D letra G letra I seis tres nueve seis dos mil quince) de fecha 23 veintitrés de abril del año 2015 dos mil quince, </w:t>
      </w:r>
      <w:r w:rsidRPr="0004004F">
        <w:rPr>
          <w:rFonts w:ascii="Century" w:eastAsia="Calibri" w:hAnsi="Century" w:cs="Times New Roman"/>
          <w:sz w:val="24"/>
          <w:szCs w:val="24"/>
          <w:lang w:eastAsia="es-ES"/>
        </w:rPr>
        <w:t xml:space="preserve">en el cual se designa perito valuador, a fin de que emita un dictamen respecto del bien inmueble </w:t>
      </w:r>
      <w:r w:rsidRPr="0004004F">
        <w:rPr>
          <w:rFonts w:ascii="Century" w:eastAsia="Calibri" w:hAnsi="Century" w:cs="Times New Roman"/>
          <w:i/>
          <w:lang w:eastAsia="es-ES"/>
        </w:rPr>
        <w:t>“LOTE DE TERRENO FRACCIONAMIENTO LOMAS DEL CAMPESTRE PRIMERA SECCIÓN SEGUNDA ETAPA EN LOTE 38 MANZANA 10 con cuenta predial 01D002451001, con superficie de 360m2 …”,</w:t>
      </w:r>
      <w:r w:rsidRPr="0004004F">
        <w:rPr>
          <w:rFonts w:ascii="Century" w:eastAsia="Calibri" w:hAnsi="Century" w:cs="Times New Roman"/>
          <w:sz w:val="24"/>
          <w:szCs w:val="24"/>
          <w:lang w:eastAsia="es-ES"/>
        </w:rPr>
        <w:t xml:space="preserve"> oficio en el que también se precisa, que </w:t>
      </w:r>
      <w:r w:rsidRPr="0004004F">
        <w:rPr>
          <w:rFonts w:ascii="Century" w:eastAsia="Calibri" w:hAnsi="Century" w:cs="Times New Roman"/>
          <w:i/>
          <w:sz w:val="24"/>
          <w:szCs w:val="24"/>
          <w:lang w:eastAsia="es-ES"/>
        </w:rPr>
        <w:t xml:space="preserve">“Dicho inmueble fue embargado al ciudadano </w:t>
      </w:r>
      <w:r w:rsidR="00D562D0">
        <w:rPr>
          <w:rFonts w:ascii="Century" w:eastAsia="Calibri" w:hAnsi="Century" w:cs="Times New Roman"/>
          <w:i/>
          <w:sz w:val="24"/>
          <w:szCs w:val="24"/>
          <w:lang w:eastAsia="es-ES"/>
        </w:rPr>
        <w:t>*****</w:t>
      </w:r>
      <w:r w:rsidRPr="0004004F">
        <w:rPr>
          <w:rFonts w:ascii="Century" w:eastAsia="Calibri" w:hAnsi="Century" w:cs="Times New Roman"/>
          <w:i/>
          <w:sz w:val="24"/>
          <w:szCs w:val="24"/>
          <w:lang w:eastAsia="es-ES"/>
        </w:rPr>
        <w:t>, parte actora en el presente juicio, dentro del Procedimiento Administrativo de Ejecución para hacer efectivo el pago del crédito fiscal número según folio de infracción 185-7 (uno ocho cinco siete), 997-1 (nueve nueve siete uno), 2465-0 (dos cuatro seis cinco cero), 2973-0 (dos nueve siete tres cero), 8042-1 (ocho cero cuatro dos uno), 8050-1 (ocho cero cinco cero uno), 8395-0 (ocho tres nueve cinco cero), 10304-1 (uno cero tres cero cuatro uno), 10766-1 (uno cero siete seis seis uno), 27132-0 (dos siete uno tres dos cero), 27637-0 (dos siete seis tres siete cero), 30081-0 (tres cero cero ocho uno cero), 36580-0 (tres seis cinco ocho cero cero), 37229 -037972-0 (tres siete dos dos nueve cero tres siete nueve siete dos cero), de la multa impuesta por la dirección de DESARROLLO URBANO …”</w:t>
      </w:r>
    </w:p>
    <w:p w:rsidR="0004004F" w:rsidRPr="0004004F" w:rsidRDefault="0004004F" w:rsidP="0004004F">
      <w:pPr>
        <w:spacing w:after="0" w:line="360" w:lineRule="auto"/>
        <w:ind w:firstLine="708"/>
        <w:jc w:val="both"/>
        <w:rPr>
          <w:rFonts w:ascii="Century" w:eastAsia="Calibri" w:hAnsi="Century" w:cs="Times New Roman"/>
          <w:sz w:val="24"/>
          <w:szCs w:val="24"/>
          <w:lang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eastAsia="es-ES"/>
        </w:rPr>
      </w:pPr>
      <w:r w:rsidRPr="0004004F">
        <w:rPr>
          <w:rFonts w:ascii="Century" w:eastAsia="Calibri" w:hAnsi="Century" w:cs="Calibri"/>
          <w:sz w:val="24"/>
          <w:szCs w:val="24"/>
          <w:lang w:val="es-ES" w:eastAsia="es-ES"/>
        </w:rPr>
        <w:t xml:space="preserve">Luego entonces, es que el actor niega lisa y llanamente se le hayan notificado de manera personal los proveídos de multa y/o infracciones que describe en el cuerpo de su demanda precisamente en rubro referido como </w:t>
      </w:r>
      <w:r w:rsidRPr="0004004F">
        <w:rPr>
          <w:rFonts w:ascii="Century" w:eastAsia="Calibri" w:hAnsi="Century" w:cs="Calibri"/>
          <w:i/>
          <w:sz w:val="24"/>
          <w:szCs w:val="24"/>
          <w:lang w:val="es-ES" w:eastAsia="es-ES"/>
        </w:rPr>
        <w:t>“HECHOS … 1.- número uno”</w:t>
      </w:r>
      <w:r w:rsidRPr="0004004F">
        <w:rPr>
          <w:rFonts w:ascii="Century" w:eastAsia="Calibri" w:hAnsi="Century" w:cs="Calibri"/>
          <w:sz w:val="24"/>
          <w:szCs w:val="24"/>
          <w:lang w:val="es-ES" w:eastAsia="es-ES"/>
        </w:rPr>
        <w:t xml:space="preserve">, es decir, los folios números </w:t>
      </w:r>
      <w:r w:rsidRPr="0004004F">
        <w:rPr>
          <w:rFonts w:ascii="Century" w:eastAsia="Calibri" w:hAnsi="Century" w:cs="Times New Roman"/>
          <w:sz w:val="24"/>
          <w:szCs w:val="24"/>
          <w:lang w:eastAsia="es-ES"/>
        </w:rPr>
        <w:t xml:space="preserve">185-7 (uno ocho cinco siete), 997-1 (nueve nueve siete uno), 2465-0 (dos cuatro seis cinco cero), 2973-0 (dos nueve siete tres cero), 8042-1 (ocho cero cuatro dos uno), 8050-1 (ocho cero cinco cero uno), 8395-0 (ocho tres nueve cinco cero), 10304-1 (uno cero tres cero cuatro uno), 10766-1 (uno cero siete seis seis uno), 27132-0 (dos siete uno tres dos cero), 27637-0 (dos siete seis tres siete cero), 30081-0 (tres </w:t>
      </w:r>
      <w:r w:rsidRPr="0004004F">
        <w:rPr>
          <w:rFonts w:ascii="Century" w:eastAsia="Calibri" w:hAnsi="Century" w:cs="Times New Roman"/>
          <w:sz w:val="24"/>
          <w:szCs w:val="24"/>
          <w:lang w:eastAsia="es-ES"/>
        </w:rPr>
        <w:lastRenderedPageBreak/>
        <w:t>cero cero ocho uno cero), 36580-0 (tres seis cinco ocho cero cero), 37229 -037972-0 (tres siete dos dos nueve cero tres siete nueve siete dos cero). -------------------</w:t>
      </w:r>
    </w:p>
    <w:p w:rsidR="0004004F" w:rsidRPr="0004004F" w:rsidRDefault="0004004F" w:rsidP="0004004F">
      <w:pPr>
        <w:spacing w:after="0" w:line="360" w:lineRule="auto"/>
        <w:ind w:firstLine="708"/>
        <w:jc w:val="both"/>
        <w:rPr>
          <w:rFonts w:ascii="Century" w:eastAsia="Calibri" w:hAnsi="Century" w:cs="Times New Roman"/>
          <w:sz w:val="24"/>
          <w:szCs w:val="24"/>
          <w:lang w:eastAsia="es-ES"/>
        </w:rPr>
      </w:pPr>
    </w:p>
    <w:p w:rsidR="0004004F" w:rsidRPr="0004004F" w:rsidRDefault="0004004F" w:rsidP="0004004F">
      <w:pPr>
        <w:spacing w:after="0" w:line="360" w:lineRule="auto"/>
        <w:ind w:firstLine="709"/>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Respecto de lo anterior, resulta importante hacer referencia a lo que dispone la Ley de Hacienda para los Municipios del Estado de Guanajuato: ---</w:t>
      </w:r>
    </w:p>
    <w:p w:rsidR="0004004F" w:rsidRPr="0004004F" w:rsidRDefault="0004004F" w:rsidP="0004004F">
      <w:pPr>
        <w:spacing w:after="0" w:line="240" w:lineRule="auto"/>
        <w:ind w:firstLine="709"/>
        <w:jc w:val="both"/>
        <w:rPr>
          <w:rFonts w:ascii="Verdana" w:eastAsia="Calibri" w:hAnsi="Verdana" w:cs="Arial"/>
          <w:bCs/>
          <w:sz w:val="20"/>
          <w:szCs w:val="20"/>
          <w:lang w:val="es-ES" w:eastAsia="es-ES"/>
        </w:rPr>
      </w:pPr>
    </w:p>
    <w:p w:rsidR="0004004F" w:rsidRPr="0004004F" w:rsidRDefault="0004004F" w:rsidP="0004004F">
      <w:pPr>
        <w:spacing w:after="0" w:line="240" w:lineRule="auto"/>
        <w:ind w:firstLine="709"/>
        <w:jc w:val="both"/>
        <w:rPr>
          <w:rFonts w:ascii="Verdana" w:eastAsia="Calibri" w:hAnsi="Verdana" w:cs="Arial"/>
          <w:bCs/>
          <w:sz w:val="20"/>
          <w:szCs w:val="20"/>
          <w:lang w:val="es-ES" w:eastAsia="es-ES"/>
        </w:rPr>
      </w:pPr>
    </w:p>
    <w:p w:rsidR="0004004F" w:rsidRPr="0004004F" w:rsidRDefault="0004004F" w:rsidP="0004004F">
      <w:pPr>
        <w:spacing w:after="0" w:line="240" w:lineRule="auto"/>
        <w:ind w:firstLine="708"/>
        <w:jc w:val="both"/>
        <w:rPr>
          <w:rFonts w:ascii="Century" w:eastAsia="Calibri" w:hAnsi="Century" w:cs="Times New Roman"/>
          <w:bCs/>
          <w:i/>
          <w:iCs/>
          <w:sz w:val="24"/>
          <w:szCs w:val="24"/>
          <w:lang w:val="es-ES" w:eastAsia="es-ES"/>
        </w:rPr>
      </w:pPr>
      <w:r w:rsidRPr="0004004F">
        <w:rPr>
          <w:rFonts w:ascii="Century" w:eastAsia="Calibri" w:hAnsi="Century" w:cs="Times New Roman"/>
          <w:b/>
          <w:bCs/>
          <w:i/>
          <w:iCs/>
          <w:sz w:val="24"/>
          <w:szCs w:val="24"/>
          <w:lang w:val="es-ES" w:eastAsia="es-ES"/>
        </w:rPr>
        <w:t>ARTÍCULO</w:t>
      </w:r>
      <w:r w:rsidRPr="0004004F">
        <w:rPr>
          <w:rFonts w:ascii="Century" w:eastAsia="Calibri" w:hAnsi="Century" w:cs="Times New Roman"/>
          <w:bCs/>
          <w:i/>
          <w:iCs/>
          <w:sz w:val="24"/>
          <w:szCs w:val="24"/>
          <w:lang w:val="es-ES" w:eastAsia="es-ES"/>
        </w:rPr>
        <w:t xml:space="preserve"> </w:t>
      </w:r>
      <w:r w:rsidRPr="0004004F">
        <w:rPr>
          <w:rFonts w:ascii="Century" w:eastAsia="Calibri" w:hAnsi="Century" w:cs="Times New Roman"/>
          <w:b/>
          <w:bCs/>
          <w:i/>
          <w:iCs/>
          <w:sz w:val="24"/>
          <w:szCs w:val="24"/>
          <w:lang w:val="es-ES" w:eastAsia="es-ES"/>
        </w:rPr>
        <w:t>24.</w:t>
      </w:r>
      <w:r w:rsidRPr="0004004F">
        <w:rPr>
          <w:rFonts w:ascii="Century" w:eastAsia="Calibri" w:hAnsi="Century" w:cs="Times New Roman"/>
          <w:bCs/>
          <w:i/>
          <w:iCs/>
          <w:sz w:val="24"/>
          <w:szCs w:val="24"/>
          <w:lang w:val="es-ES" w:eastAsia="es-ES"/>
        </w:rP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rsidR="0004004F" w:rsidRPr="0004004F" w:rsidRDefault="0004004F" w:rsidP="0004004F">
      <w:pPr>
        <w:spacing w:after="0" w:line="240" w:lineRule="auto"/>
        <w:ind w:firstLine="709"/>
        <w:jc w:val="both"/>
        <w:rPr>
          <w:rFonts w:ascii="Verdana" w:eastAsia="Calibri" w:hAnsi="Verdana" w:cs="Arial"/>
          <w:bCs/>
          <w:i/>
          <w:iCs/>
          <w:sz w:val="20"/>
          <w:szCs w:val="20"/>
          <w:lang w:val="es-ES" w:eastAsia="es-ES"/>
        </w:rPr>
      </w:pPr>
    </w:p>
    <w:p w:rsidR="0004004F" w:rsidRPr="0004004F" w:rsidRDefault="0004004F" w:rsidP="0004004F">
      <w:pPr>
        <w:spacing w:after="0" w:line="240" w:lineRule="auto"/>
        <w:ind w:firstLine="709"/>
        <w:jc w:val="both"/>
        <w:rPr>
          <w:rFonts w:ascii="Verdana" w:eastAsia="Calibri" w:hAnsi="Verdana" w:cs="Arial"/>
          <w:bCs/>
          <w:i/>
          <w:iCs/>
          <w:sz w:val="20"/>
          <w:szCs w:val="20"/>
          <w:lang w:val="es-ES" w:eastAsia="es-ES"/>
        </w:rPr>
      </w:pPr>
      <w:r w:rsidRPr="0004004F">
        <w:rPr>
          <w:rFonts w:ascii="Verdana" w:eastAsia="Calibri" w:hAnsi="Verdana" w:cs="Arial"/>
          <w:bCs/>
          <w:i/>
          <w:iCs/>
          <w:sz w:val="20"/>
          <w:szCs w:val="20"/>
          <w:lang w:val="es-ES" w:eastAsia="es-ES"/>
        </w:rPr>
        <w:t xml:space="preserve">[…] </w:t>
      </w:r>
    </w:p>
    <w:p w:rsidR="0004004F" w:rsidRPr="0004004F" w:rsidRDefault="0004004F" w:rsidP="0004004F">
      <w:pPr>
        <w:spacing w:after="0" w:line="240" w:lineRule="auto"/>
        <w:ind w:firstLine="709"/>
        <w:jc w:val="both"/>
        <w:rPr>
          <w:rFonts w:ascii="Century" w:eastAsia="Calibri" w:hAnsi="Century" w:cs="Times New Roman"/>
          <w:b/>
          <w:bCs/>
          <w:i/>
          <w:iCs/>
          <w:sz w:val="24"/>
          <w:szCs w:val="24"/>
          <w:lang w:val="es-ES" w:eastAsia="es-ES"/>
        </w:rPr>
      </w:pPr>
    </w:p>
    <w:p w:rsidR="0004004F" w:rsidRPr="0004004F" w:rsidRDefault="0004004F" w:rsidP="0004004F">
      <w:pPr>
        <w:spacing w:after="0" w:line="240" w:lineRule="auto"/>
        <w:ind w:firstLine="708"/>
        <w:jc w:val="both"/>
        <w:rPr>
          <w:rFonts w:ascii="Century" w:eastAsia="Calibri" w:hAnsi="Century" w:cs="Times New Roman"/>
          <w:bCs/>
          <w:i/>
          <w:iCs/>
          <w:sz w:val="24"/>
          <w:szCs w:val="24"/>
          <w:lang w:val="es-ES" w:eastAsia="es-ES"/>
        </w:rPr>
      </w:pPr>
      <w:r w:rsidRPr="0004004F">
        <w:rPr>
          <w:rFonts w:ascii="Century" w:eastAsia="Calibri" w:hAnsi="Century" w:cs="Times New Roman"/>
          <w:b/>
          <w:bCs/>
          <w:i/>
          <w:iCs/>
          <w:sz w:val="24"/>
          <w:szCs w:val="24"/>
          <w:lang w:val="es-ES" w:eastAsia="es-ES"/>
        </w:rPr>
        <w:t>ARTÍCULO 43.</w:t>
      </w:r>
      <w:r w:rsidRPr="0004004F">
        <w:rPr>
          <w:rFonts w:ascii="Century" w:eastAsia="Calibri" w:hAnsi="Century" w:cs="Times New Roman"/>
          <w:bCs/>
          <w:i/>
          <w:iCs/>
          <w:sz w:val="24"/>
          <w:szCs w:val="24"/>
          <w:lang w:val="es-ES" w:eastAsia="es-ES"/>
        </w:rPr>
        <w:t xml:space="preserve"> La obligación fiscal nace cuando se realizan los supuestos jurídicos o de hecho previstos en las Leyes Fiscales.</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p>
    <w:p w:rsidR="0004004F" w:rsidRPr="0004004F" w:rsidRDefault="0004004F" w:rsidP="0004004F">
      <w:pPr>
        <w:spacing w:after="0" w:line="240" w:lineRule="auto"/>
        <w:ind w:firstLine="708"/>
        <w:jc w:val="both"/>
        <w:rPr>
          <w:rFonts w:ascii="Century" w:eastAsia="Calibri" w:hAnsi="Century" w:cs="Times New Roman"/>
          <w:bCs/>
          <w:i/>
          <w:iCs/>
          <w:sz w:val="24"/>
          <w:szCs w:val="24"/>
          <w:lang w:val="es-ES" w:eastAsia="es-ES"/>
        </w:rPr>
      </w:pPr>
      <w:r w:rsidRPr="0004004F">
        <w:rPr>
          <w:rFonts w:ascii="Century" w:eastAsia="Calibri" w:hAnsi="Century" w:cs="Times New Roman"/>
          <w:b/>
          <w:bCs/>
          <w:i/>
          <w:iCs/>
          <w:sz w:val="24"/>
          <w:szCs w:val="24"/>
          <w:lang w:val="es-ES" w:eastAsia="es-ES"/>
        </w:rPr>
        <w:t>ARTÍCULO 44.</w:t>
      </w:r>
      <w:r w:rsidRPr="0004004F">
        <w:rPr>
          <w:rFonts w:ascii="Century" w:eastAsia="Calibri" w:hAnsi="Century" w:cs="Times New Roman"/>
          <w:bCs/>
          <w:i/>
          <w:iCs/>
          <w:sz w:val="24"/>
          <w:szCs w:val="24"/>
          <w:lang w:val="es-ES" w:eastAsia="es-ES"/>
        </w:rP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r w:rsidRPr="0004004F">
        <w:rPr>
          <w:rFonts w:ascii="Century" w:eastAsia="Calibri" w:hAnsi="Century" w:cs="Times New Roman"/>
          <w:b/>
          <w:bCs/>
          <w:i/>
          <w:iCs/>
          <w:sz w:val="24"/>
          <w:szCs w:val="24"/>
          <w:lang w:val="es-ES" w:eastAsia="es-ES"/>
        </w:rPr>
        <w:t>ARTÍCULO 45.</w:t>
      </w:r>
      <w:r w:rsidRPr="0004004F">
        <w:rPr>
          <w:rFonts w:ascii="Century" w:eastAsia="Calibri" w:hAnsi="Century" w:cs="Times New Roman"/>
          <w:bCs/>
          <w:i/>
          <w:iCs/>
          <w:sz w:val="24"/>
          <w:szCs w:val="24"/>
          <w:lang w:val="es-ES" w:eastAsia="es-ES"/>
        </w:rP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rsidR="0004004F" w:rsidRPr="0004004F" w:rsidRDefault="0004004F" w:rsidP="0004004F">
      <w:pPr>
        <w:spacing w:after="0" w:line="240" w:lineRule="auto"/>
        <w:ind w:firstLine="709"/>
        <w:jc w:val="both"/>
        <w:rPr>
          <w:rFonts w:ascii="Century" w:eastAsia="Calibri" w:hAnsi="Century" w:cs="Helvetica"/>
          <w:bCs/>
          <w:i/>
          <w:iCs/>
          <w:sz w:val="24"/>
          <w:szCs w:val="24"/>
          <w:bdr w:val="none" w:sz="0" w:space="0" w:color="auto" w:frame="1"/>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De las normas jurídicas transcritas se desprenden las siguientes premisas: ---------------------------------------------------------------------------------------------</w:t>
      </w: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eastAsia="es-ES"/>
        </w:rPr>
      </w:pPr>
      <w:r w:rsidRPr="0004004F">
        <w:rPr>
          <w:rFonts w:ascii="Century" w:eastAsia="Calibri" w:hAnsi="Century" w:cs="Times New Roman"/>
          <w:sz w:val="24"/>
          <w:szCs w:val="24"/>
          <w:lang w:val="es-ES" w:eastAsia="es-ES"/>
        </w:rPr>
        <w:lastRenderedPageBreak/>
        <w:t xml:space="preserve">En tal sentido, es que la autoridad debe notificar, previo al iniciar el procedimiento administrativo de ejecución, la determinación del crédito fiscal, en el que dé a conocer al particular de manera clara y precisa los fundamentos y motivos que originaron dicho crédito; </w:t>
      </w:r>
      <w:r w:rsidRPr="0004004F">
        <w:rPr>
          <w:rFonts w:ascii="Century" w:eastAsia="Calibri" w:hAnsi="Century" w:cs="Times New Roman"/>
          <w:sz w:val="24"/>
          <w:szCs w:val="24"/>
          <w:lang w:eastAsia="es-ES"/>
        </w:rPr>
        <w:t>en tal sentido, no es susceptible iniciar el procedimiento administrativo de ejecución, si no se ha notificado la determinación del crédito fiscal, ya que el ciudadano desconoce de dónde emana la cantidad líquida que se le está cobrando. Lo anterior, se apoya en el siguiente criterio: -------------------------------------------------------------------------------</w:t>
      </w:r>
    </w:p>
    <w:p w:rsidR="0004004F" w:rsidRPr="0004004F" w:rsidRDefault="0004004F" w:rsidP="0004004F">
      <w:pPr>
        <w:spacing w:after="0" w:line="360" w:lineRule="auto"/>
        <w:ind w:firstLine="708"/>
        <w:jc w:val="both"/>
        <w:rPr>
          <w:rFonts w:ascii="Century" w:eastAsia="Calibri" w:hAnsi="Century" w:cs="Times New Roman"/>
          <w:sz w:val="24"/>
          <w:szCs w:val="24"/>
          <w:lang w:eastAsia="es-ES"/>
        </w:rPr>
      </w:pPr>
    </w:p>
    <w:p w:rsidR="0004004F" w:rsidRPr="0004004F" w:rsidRDefault="0004004F" w:rsidP="0004004F">
      <w:pPr>
        <w:spacing w:after="0" w:line="240" w:lineRule="auto"/>
        <w:ind w:firstLine="709"/>
        <w:jc w:val="both"/>
        <w:rPr>
          <w:rFonts w:ascii="Century" w:eastAsia="Calibri" w:hAnsi="Century" w:cs="Times New Roman"/>
          <w:bCs/>
          <w:i/>
          <w:iCs/>
          <w:sz w:val="24"/>
          <w:szCs w:val="24"/>
          <w:lang w:eastAsia="es-ES"/>
        </w:rPr>
      </w:pPr>
      <w:r w:rsidRPr="0004004F">
        <w:rPr>
          <w:rFonts w:ascii="Century" w:eastAsia="Calibri" w:hAnsi="Century" w:cs="Times New Roman"/>
          <w:bCs/>
          <w:i/>
          <w:iCs/>
          <w:sz w:val="24"/>
          <w:szCs w:val="24"/>
          <w:lang w:eastAsia="es-ES"/>
        </w:rPr>
        <w:t xml:space="preserve">ANTES DE INICIAR EL PROCEDIMIENTO ADMINISTRATIVO DE EJECUCIÓN, DEBE NOTIFICARSE AL CIUDADANO LA DETERMINACIÓN DEL IMPUESTO PREDIAL. 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 (Ponente: Magistrado Arturo Lara Martínez. Toca 449/15 PL, recurso de reclamación interpuesto por la autorizada del Director de Ejecución adscrito a la Tesorería municipal de León, Guanajuato, parte demandada. Resolución de 30 de septiembre de 2015) </w:t>
      </w:r>
    </w:p>
    <w:p w:rsidR="0004004F" w:rsidRPr="0004004F" w:rsidRDefault="0004004F" w:rsidP="0004004F">
      <w:pPr>
        <w:spacing w:after="0" w:line="240" w:lineRule="auto"/>
        <w:ind w:firstLine="709"/>
        <w:jc w:val="both"/>
        <w:rPr>
          <w:rFonts w:ascii="Century" w:eastAsia="Calibri" w:hAnsi="Century" w:cs="Times New Roman"/>
          <w:bCs/>
          <w:i/>
          <w:iCs/>
          <w:sz w:val="24"/>
          <w:szCs w:val="24"/>
          <w:lang w:eastAsia="es-ES"/>
        </w:rPr>
      </w:pPr>
    </w:p>
    <w:p w:rsidR="0004004F" w:rsidRPr="0004004F" w:rsidRDefault="0004004F" w:rsidP="0004004F">
      <w:pPr>
        <w:spacing w:after="0" w:line="240" w:lineRule="auto"/>
        <w:ind w:firstLine="709"/>
        <w:jc w:val="both"/>
        <w:rPr>
          <w:rFonts w:ascii="Century" w:eastAsia="Calibri" w:hAnsi="Century" w:cs="Times New Roman"/>
          <w:bCs/>
          <w:i/>
          <w:iCs/>
          <w:sz w:val="24"/>
          <w:szCs w:val="24"/>
          <w:lang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eastAsia="es-ES"/>
        </w:rPr>
        <w:t>E</w:t>
      </w:r>
      <w:r w:rsidRPr="0004004F">
        <w:rPr>
          <w:rFonts w:ascii="Century" w:eastAsia="Calibri" w:hAnsi="Century" w:cs="Times New Roman"/>
          <w:sz w:val="24"/>
          <w:szCs w:val="24"/>
          <w:lang w:val="es-ES" w:eastAsia="es-ES"/>
        </w:rPr>
        <w:t>n el mismo contexto, la referida Ley de Hacienda para los Municipios del Estado de Guanajuato, en los siguientes artículos, dispone: --------------------</w:t>
      </w:r>
    </w:p>
    <w:p w:rsidR="0004004F" w:rsidRPr="0004004F" w:rsidRDefault="0004004F" w:rsidP="0004004F">
      <w:pPr>
        <w:spacing w:after="0" w:line="240" w:lineRule="auto"/>
        <w:ind w:firstLine="709"/>
        <w:jc w:val="both"/>
        <w:rPr>
          <w:rFonts w:ascii="Verdana" w:eastAsia="Calibri" w:hAnsi="Verdana" w:cs="Arial"/>
          <w:b/>
          <w:bCs/>
          <w:sz w:val="20"/>
          <w:szCs w:val="20"/>
          <w:lang w:val="es-ES" w:eastAsia="es-ES"/>
        </w:rPr>
      </w:pP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r w:rsidRPr="0004004F">
        <w:rPr>
          <w:rFonts w:ascii="Century" w:eastAsia="Calibri" w:hAnsi="Century" w:cs="Times New Roman"/>
          <w:b/>
          <w:bCs/>
          <w:i/>
          <w:iCs/>
          <w:sz w:val="24"/>
          <w:szCs w:val="24"/>
          <w:lang w:val="es-ES" w:eastAsia="es-ES"/>
        </w:rPr>
        <w:t>Artículo</w:t>
      </w:r>
      <w:r w:rsidRPr="0004004F">
        <w:rPr>
          <w:rFonts w:ascii="Century" w:eastAsia="Calibri" w:hAnsi="Century" w:cs="Times New Roman"/>
          <w:bCs/>
          <w:i/>
          <w:iCs/>
          <w:sz w:val="24"/>
          <w:szCs w:val="24"/>
          <w:lang w:val="es-ES" w:eastAsia="es-ES"/>
        </w:rPr>
        <w:t xml:space="preserve"> </w:t>
      </w:r>
      <w:r w:rsidRPr="0004004F">
        <w:rPr>
          <w:rFonts w:ascii="Century" w:eastAsia="Calibri" w:hAnsi="Century" w:cs="Times New Roman"/>
          <w:b/>
          <w:bCs/>
          <w:i/>
          <w:iCs/>
          <w:sz w:val="24"/>
          <w:szCs w:val="24"/>
          <w:lang w:val="es-ES" w:eastAsia="es-ES"/>
        </w:rPr>
        <w:t>93.</w:t>
      </w:r>
      <w:r w:rsidRPr="0004004F">
        <w:rPr>
          <w:rFonts w:ascii="Century" w:eastAsia="Calibri" w:hAnsi="Century" w:cs="Times New Roman"/>
          <w:bCs/>
          <w:i/>
          <w:iCs/>
          <w:sz w:val="24"/>
          <w:szCs w:val="24"/>
          <w:lang w:val="es-ES" w:eastAsia="es-ES"/>
        </w:rPr>
        <w:t xml:space="preserve"> Las autoridades fiscales, para hacer efectivo un crédito fiscal exigible y el importe de sus accesorios legales, requerirán al deudor, para que efectúe el pago dentro de los seis días siguientes a la notificación de dicho requerimiento y se le apercibirá que de no hacerlo, se le embargarán bienes suficientes para hacer efectivo el crédito fiscal y sus accesorios.</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r w:rsidRPr="0004004F">
        <w:rPr>
          <w:rFonts w:ascii="Century" w:eastAsia="Calibri" w:hAnsi="Century" w:cs="Times New Roman"/>
          <w:bCs/>
          <w:i/>
          <w:iCs/>
          <w:sz w:val="24"/>
          <w:szCs w:val="24"/>
          <w:lang w:val="es-ES" w:eastAsia="es-ES"/>
        </w:rPr>
        <w:t xml:space="preserve"> </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r w:rsidRPr="0004004F">
        <w:rPr>
          <w:rFonts w:ascii="Century" w:eastAsia="Calibri" w:hAnsi="Century" w:cs="Times New Roman"/>
          <w:b/>
          <w:bCs/>
          <w:i/>
          <w:iCs/>
          <w:sz w:val="24"/>
          <w:szCs w:val="24"/>
          <w:lang w:val="es-ES" w:eastAsia="es-ES"/>
        </w:rPr>
        <w:t>Artículo</w:t>
      </w:r>
      <w:r w:rsidRPr="0004004F">
        <w:rPr>
          <w:rFonts w:ascii="Century" w:eastAsia="Calibri" w:hAnsi="Century" w:cs="Times New Roman"/>
          <w:bCs/>
          <w:i/>
          <w:iCs/>
          <w:sz w:val="24"/>
          <w:szCs w:val="24"/>
          <w:lang w:val="es-ES" w:eastAsia="es-ES"/>
        </w:rPr>
        <w:t xml:space="preserve"> </w:t>
      </w:r>
      <w:r w:rsidRPr="0004004F">
        <w:rPr>
          <w:rFonts w:ascii="Century" w:eastAsia="Calibri" w:hAnsi="Century" w:cs="Times New Roman"/>
          <w:b/>
          <w:bCs/>
          <w:i/>
          <w:iCs/>
          <w:sz w:val="24"/>
          <w:szCs w:val="24"/>
          <w:lang w:val="es-ES" w:eastAsia="es-ES"/>
        </w:rPr>
        <w:t>94.</w:t>
      </w:r>
      <w:r w:rsidRPr="0004004F">
        <w:rPr>
          <w:rFonts w:ascii="Century" w:eastAsia="Calibri" w:hAnsi="Century" w:cs="Times New Roman"/>
          <w:bCs/>
          <w:i/>
          <w:iCs/>
          <w:sz w:val="24"/>
          <w:szCs w:val="24"/>
          <w:lang w:val="es-ES" w:eastAsia="es-ES"/>
        </w:rPr>
        <w:t xml:space="preserve"> Una vez transcurrido el plazo de seis días a que se refiere el artículo anterior, si el deudor no ha cubierto totalmente el crédito a su cargo, las autoridades fiscales procederán como sigue:</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r w:rsidRPr="0004004F">
        <w:rPr>
          <w:rFonts w:ascii="Century" w:eastAsia="Calibri" w:hAnsi="Century" w:cs="Times New Roman"/>
          <w:bCs/>
          <w:i/>
          <w:iCs/>
          <w:sz w:val="24"/>
          <w:szCs w:val="24"/>
          <w:lang w:val="es-ES" w:eastAsia="es-ES"/>
        </w:rPr>
        <w:lastRenderedPageBreak/>
        <w:t>A embargar bienes suficientes para, en su caso, rematarlos, enajenarlos fuera de subasta o adjudicarlos en favor del fisco.</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r w:rsidRPr="0004004F" w:rsidDel="00355BC2">
        <w:rPr>
          <w:rFonts w:ascii="Century" w:eastAsia="Calibri" w:hAnsi="Century" w:cs="Times New Roman"/>
          <w:bCs/>
          <w:i/>
          <w:iCs/>
          <w:sz w:val="24"/>
          <w:szCs w:val="24"/>
          <w:lang w:val="es-ES" w:eastAsia="es-ES"/>
        </w:rPr>
        <w:t xml:space="preserve"> </w:t>
      </w:r>
      <w:r w:rsidRPr="0004004F">
        <w:rPr>
          <w:rFonts w:ascii="Century" w:eastAsia="Calibri" w:hAnsi="Century" w:cs="Times New Roman"/>
          <w:b/>
          <w:bCs/>
          <w:i/>
          <w:iCs/>
          <w:sz w:val="24"/>
          <w:szCs w:val="24"/>
          <w:lang w:val="es-ES" w:eastAsia="es-ES"/>
        </w:rPr>
        <w:t>Artículo</w:t>
      </w:r>
      <w:r w:rsidRPr="0004004F">
        <w:rPr>
          <w:rFonts w:ascii="Century" w:eastAsia="Calibri" w:hAnsi="Century" w:cs="Times New Roman"/>
          <w:bCs/>
          <w:i/>
          <w:iCs/>
          <w:sz w:val="24"/>
          <w:szCs w:val="24"/>
          <w:lang w:val="es-ES" w:eastAsia="es-ES"/>
        </w:rPr>
        <w:t xml:space="preserve"> </w:t>
      </w:r>
      <w:r w:rsidRPr="0004004F">
        <w:rPr>
          <w:rFonts w:ascii="Century" w:eastAsia="Calibri" w:hAnsi="Century" w:cs="Times New Roman"/>
          <w:b/>
          <w:bCs/>
          <w:i/>
          <w:iCs/>
          <w:sz w:val="24"/>
          <w:szCs w:val="24"/>
          <w:lang w:val="es-ES" w:eastAsia="es-ES"/>
        </w:rPr>
        <w:t>96.</w:t>
      </w:r>
      <w:r w:rsidRPr="0004004F">
        <w:rPr>
          <w:rFonts w:ascii="Century" w:eastAsia="Calibri" w:hAnsi="Century" w:cs="Times New Roman"/>
          <w:bCs/>
          <w:i/>
          <w:iCs/>
          <w:sz w:val="24"/>
          <w:szCs w:val="24"/>
          <w:lang w:val="es-ES" w:eastAsia="es-ES"/>
        </w:rPr>
        <w:t xml:space="preserve"> El ejecutor designado por la Tesorería Municipal se constituirá en el domicilio del deudor y practicará la diligencia del requerimiento de pago y embargo de bienes, con intervención de la negociación en su caso, cumpliendo las formalidades que señalen para las notificaciones personales. De esta diligencia se levantará acta pormenorizada de la que se entregará copia a la persona con quien se entienda la misma.</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r w:rsidRPr="0004004F">
        <w:rPr>
          <w:rFonts w:ascii="Century" w:eastAsia="Calibri" w:hAnsi="Century" w:cs="Times New Roman"/>
          <w:b/>
          <w:bCs/>
          <w:i/>
          <w:iCs/>
          <w:sz w:val="24"/>
          <w:szCs w:val="24"/>
          <w:lang w:val="es-ES" w:eastAsia="es-ES"/>
        </w:rPr>
        <w:t>Artículo</w:t>
      </w:r>
      <w:r w:rsidRPr="0004004F">
        <w:rPr>
          <w:rFonts w:ascii="Century" w:eastAsia="Calibri" w:hAnsi="Century" w:cs="Times New Roman"/>
          <w:bCs/>
          <w:i/>
          <w:iCs/>
          <w:sz w:val="24"/>
          <w:szCs w:val="24"/>
          <w:lang w:val="es-ES" w:eastAsia="es-ES"/>
        </w:rPr>
        <w:t xml:space="preserve"> </w:t>
      </w:r>
      <w:r w:rsidRPr="0004004F">
        <w:rPr>
          <w:rFonts w:ascii="Century" w:eastAsia="Calibri" w:hAnsi="Century" w:cs="Times New Roman"/>
          <w:b/>
          <w:bCs/>
          <w:i/>
          <w:iCs/>
          <w:sz w:val="24"/>
          <w:szCs w:val="24"/>
          <w:lang w:val="es-ES" w:eastAsia="es-ES"/>
        </w:rPr>
        <w:t>120.</w:t>
      </w:r>
      <w:r w:rsidRPr="0004004F">
        <w:rPr>
          <w:rFonts w:ascii="Century" w:eastAsia="Calibri" w:hAnsi="Century" w:cs="Times New Roman"/>
          <w:bCs/>
          <w:i/>
          <w:iCs/>
          <w:sz w:val="24"/>
          <w:szCs w:val="24"/>
          <w:lang w:val="es-ES" w:eastAsia="es-ES"/>
        </w:rPr>
        <w:t xml:space="preserve"> La base para la enajenación de los bienes embargados, será la que resulte del avalúo pericial, que será practicado por el perito autorizado por la Tesorería Municipal y deberá ser notificado personalmente al embargado o terceros acreedores.</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p>
    <w:p w:rsidR="0004004F" w:rsidRPr="0004004F" w:rsidRDefault="0004004F" w:rsidP="0004004F">
      <w:pPr>
        <w:spacing w:after="0" w:line="240" w:lineRule="auto"/>
        <w:ind w:firstLine="709"/>
        <w:jc w:val="both"/>
        <w:rPr>
          <w:rFonts w:ascii="Century" w:eastAsia="Calibri" w:hAnsi="Century" w:cs="Verdana"/>
          <w:bCs/>
          <w:i/>
          <w:iCs/>
          <w:sz w:val="24"/>
          <w:szCs w:val="24"/>
          <w:lang w:eastAsia="es-MX"/>
        </w:rPr>
      </w:pPr>
      <w:r w:rsidRPr="0004004F">
        <w:rPr>
          <w:rFonts w:ascii="Century" w:eastAsia="Calibri" w:hAnsi="Century" w:cs="Verdana"/>
          <w:b/>
          <w:bCs/>
          <w:i/>
          <w:iCs/>
          <w:sz w:val="24"/>
          <w:szCs w:val="24"/>
          <w:lang w:eastAsia="es-MX"/>
        </w:rPr>
        <w:t xml:space="preserve">Artículo 121. </w:t>
      </w:r>
      <w:r w:rsidRPr="0004004F">
        <w:rPr>
          <w:rFonts w:ascii="Century" w:eastAsia="Calibri" w:hAnsi="Century" w:cs="Verdana"/>
          <w:bCs/>
          <w:i/>
          <w:iCs/>
          <w:sz w:val="24"/>
          <w:szCs w:val="24"/>
          <w:lang w:eastAsia="es-MX"/>
        </w:rPr>
        <w:t>Para proceder al remate de bienes inmuebles, derechos reales o posesorios y de negociaciones embargadas se obtendrá del Registro Público de la Propiedad, un certificado a fin de acreditar que los bienes son propiedad del deudor o tiene derechos adquiridos sobre ellos y conocen, en su caso, los gravámenes registrados.</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r w:rsidRPr="0004004F">
        <w:rPr>
          <w:rFonts w:ascii="Century" w:eastAsia="Calibri" w:hAnsi="Century" w:cs="Times New Roman"/>
          <w:b/>
          <w:bCs/>
          <w:i/>
          <w:iCs/>
          <w:sz w:val="24"/>
          <w:szCs w:val="24"/>
          <w:lang w:val="es-ES" w:eastAsia="es-ES"/>
        </w:rPr>
        <w:t>Artículo</w:t>
      </w:r>
      <w:r w:rsidRPr="0004004F">
        <w:rPr>
          <w:rFonts w:ascii="Century" w:eastAsia="Calibri" w:hAnsi="Century" w:cs="Times New Roman"/>
          <w:bCs/>
          <w:i/>
          <w:iCs/>
          <w:sz w:val="24"/>
          <w:szCs w:val="24"/>
          <w:lang w:val="es-ES" w:eastAsia="es-ES"/>
        </w:rPr>
        <w:t xml:space="preserve"> </w:t>
      </w:r>
      <w:r w:rsidRPr="0004004F">
        <w:rPr>
          <w:rFonts w:ascii="Century" w:eastAsia="Calibri" w:hAnsi="Century" w:cs="Times New Roman"/>
          <w:b/>
          <w:bCs/>
          <w:i/>
          <w:iCs/>
          <w:sz w:val="24"/>
          <w:szCs w:val="24"/>
          <w:lang w:val="es-ES" w:eastAsia="es-ES"/>
        </w:rPr>
        <w:t>122.</w:t>
      </w:r>
      <w:r w:rsidRPr="0004004F">
        <w:rPr>
          <w:rFonts w:ascii="Century" w:eastAsia="Calibri" w:hAnsi="Century" w:cs="Times New Roman"/>
          <w:bCs/>
          <w:i/>
          <w:iCs/>
          <w:sz w:val="24"/>
          <w:szCs w:val="24"/>
          <w:lang w:val="es-ES" w:eastAsia="es-ES"/>
        </w:rPr>
        <w:t xml:space="preserve"> El remate deberá ser convocado para una fecha dentro de los 30 días siguientes a la determinación del precio que deberá servir de base. La publicación de la convocatoria se hará cuando menos 10 días antes de la fecha del remate.</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r w:rsidRPr="0004004F">
        <w:rPr>
          <w:rFonts w:ascii="Century" w:eastAsia="Calibri" w:hAnsi="Century" w:cs="Times New Roman"/>
          <w:bCs/>
          <w:i/>
          <w:iCs/>
          <w:sz w:val="24"/>
          <w:szCs w:val="24"/>
          <w:lang w:val="es-ES" w:eastAsia="es-ES"/>
        </w:rPr>
        <w:t>La convocatoria se fijará en los sitios visibles y usuales de las oficinas ejecutoras y en los lugares públicos que se juzgue conveniente.</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r w:rsidRPr="0004004F">
        <w:rPr>
          <w:rFonts w:ascii="Century" w:eastAsia="Calibri" w:hAnsi="Century" w:cs="Times New Roman"/>
          <w:bCs/>
          <w:i/>
          <w:iCs/>
          <w:sz w:val="24"/>
          <w:szCs w:val="24"/>
          <w:lang w:val="es-ES" w:eastAsia="es-ES"/>
        </w:rPr>
        <w:t>En caso de que el valor de los bienes exceda de una cantidad equivalente a cinco veces la Unidad de Medida y Actualización diaria elevada al año, la convocatoria se publicará por una sola vez en el Periódico Oficial del Gobierno del Estado y en uno de los periódicos de mayor circulación dos veces con intervalo de 7 días, la última publicación se hará cuando menos 10 días antes de la fecha de remate.</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r w:rsidRPr="0004004F">
        <w:rPr>
          <w:rFonts w:ascii="Century" w:eastAsia="Calibri" w:hAnsi="Century" w:cs="Times New Roman"/>
          <w:b/>
          <w:bCs/>
          <w:i/>
          <w:iCs/>
          <w:sz w:val="24"/>
          <w:szCs w:val="24"/>
          <w:lang w:val="es-ES" w:eastAsia="es-ES"/>
        </w:rPr>
        <w:t>Artículo</w:t>
      </w:r>
      <w:r w:rsidRPr="0004004F">
        <w:rPr>
          <w:rFonts w:ascii="Century" w:eastAsia="Calibri" w:hAnsi="Century" w:cs="Times New Roman"/>
          <w:bCs/>
          <w:i/>
          <w:iCs/>
          <w:sz w:val="24"/>
          <w:szCs w:val="24"/>
          <w:lang w:val="es-ES" w:eastAsia="es-ES"/>
        </w:rPr>
        <w:t xml:space="preserve"> </w:t>
      </w:r>
      <w:r w:rsidRPr="0004004F">
        <w:rPr>
          <w:rFonts w:ascii="Century" w:eastAsia="Calibri" w:hAnsi="Century" w:cs="Times New Roman"/>
          <w:b/>
          <w:bCs/>
          <w:i/>
          <w:iCs/>
          <w:sz w:val="24"/>
          <w:szCs w:val="24"/>
          <w:lang w:val="es-ES" w:eastAsia="es-ES"/>
        </w:rPr>
        <w:t>123.</w:t>
      </w:r>
      <w:r w:rsidRPr="0004004F">
        <w:rPr>
          <w:rFonts w:ascii="Century" w:eastAsia="Calibri" w:hAnsi="Century" w:cs="Times New Roman"/>
          <w:bCs/>
          <w:i/>
          <w:iCs/>
          <w:sz w:val="24"/>
          <w:szCs w:val="24"/>
          <w:lang w:val="es-ES" w:eastAsia="es-ES"/>
        </w:rPr>
        <w:t xml:space="preserve"> La convocatoria de remate contendrá:</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r w:rsidRPr="0004004F">
        <w:rPr>
          <w:rFonts w:ascii="Century" w:eastAsia="Calibri" w:hAnsi="Century" w:cs="Times New Roman"/>
          <w:bCs/>
          <w:i/>
          <w:iCs/>
          <w:sz w:val="24"/>
          <w:szCs w:val="24"/>
          <w:lang w:val="es-ES" w:eastAsia="es-ES"/>
        </w:rPr>
        <w:t>La fecha, hora y lugar en que vaya a efectuarse el remate;</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r w:rsidRPr="0004004F">
        <w:rPr>
          <w:rFonts w:ascii="Century" w:eastAsia="Calibri" w:hAnsi="Century" w:cs="Times New Roman"/>
          <w:bCs/>
          <w:i/>
          <w:iCs/>
          <w:sz w:val="24"/>
          <w:szCs w:val="24"/>
          <w:lang w:val="es-ES" w:eastAsia="es-ES"/>
        </w:rPr>
        <w:t>Relación de los bienes por rematar;</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r w:rsidRPr="0004004F">
        <w:rPr>
          <w:rFonts w:ascii="Century" w:eastAsia="Calibri" w:hAnsi="Century" w:cs="Times New Roman"/>
          <w:bCs/>
          <w:i/>
          <w:iCs/>
          <w:sz w:val="24"/>
          <w:szCs w:val="24"/>
          <w:lang w:val="es-ES" w:eastAsia="es-ES"/>
        </w:rPr>
        <w:t>Valor que sirva de base para la almoneda;</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r w:rsidRPr="0004004F">
        <w:rPr>
          <w:rFonts w:ascii="Century" w:eastAsia="Calibri" w:hAnsi="Century" w:cs="Times New Roman"/>
          <w:bCs/>
          <w:i/>
          <w:iCs/>
          <w:sz w:val="24"/>
          <w:szCs w:val="24"/>
          <w:lang w:val="es-ES" w:eastAsia="es-ES"/>
        </w:rPr>
        <w:t>Postura legal;</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r w:rsidRPr="0004004F">
        <w:rPr>
          <w:rFonts w:ascii="Century" w:eastAsia="Calibri" w:hAnsi="Century" w:cs="Times New Roman"/>
          <w:bCs/>
          <w:i/>
          <w:iCs/>
          <w:sz w:val="24"/>
          <w:szCs w:val="24"/>
          <w:lang w:val="es-ES" w:eastAsia="es-ES"/>
        </w:rPr>
        <w:t>Importe del adeudo y sus accesorios; y,</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r w:rsidRPr="0004004F">
        <w:rPr>
          <w:rFonts w:ascii="Century" w:eastAsia="Calibri" w:hAnsi="Century" w:cs="Times New Roman"/>
          <w:bCs/>
          <w:i/>
          <w:iCs/>
          <w:sz w:val="24"/>
          <w:szCs w:val="24"/>
          <w:lang w:val="es-ES" w:eastAsia="es-ES"/>
        </w:rPr>
        <w:lastRenderedPageBreak/>
        <w:t>Nombre de los acreedores que hayan aparecido del certificado de gravámenes a que se refiere el artículo siguiente si, por carecer de sus domicilios, la oficina ejecutora no pudo notificarlos personalmente.</w:t>
      </w:r>
    </w:p>
    <w:p w:rsidR="0004004F" w:rsidRPr="0004004F" w:rsidRDefault="0004004F" w:rsidP="0004004F">
      <w:pPr>
        <w:spacing w:after="0" w:line="240" w:lineRule="auto"/>
        <w:ind w:firstLine="709"/>
        <w:jc w:val="both"/>
        <w:rPr>
          <w:rFonts w:ascii="Verdana" w:eastAsia="Calibri" w:hAnsi="Verdana" w:cs="Arial"/>
          <w:sz w:val="20"/>
          <w:szCs w:val="20"/>
          <w:lang w:val="es-ES" w:eastAsia="es-ES"/>
        </w:rPr>
      </w:pPr>
    </w:p>
    <w:p w:rsidR="0004004F" w:rsidRPr="0004004F" w:rsidRDefault="0004004F" w:rsidP="0004004F">
      <w:pPr>
        <w:spacing w:after="0" w:line="240" w:lineRule="auto"/>
        <w:ind w:firstLine="709"/>
        <w:jc w:val="both"/>
        <w:rPr>
          <w:rFonts w:ascii="Verdana" w:eastAsia="Calibri" w:hAnsi="Verdana" w:cs="Arial"/>
          <w:b/>
          <w:bCs/>
          <w:sz w:val="20"/>
          <w:szCs w:val="20"/>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Conforme con lo anterior, y dando seguimiento a lo argumentado respecto del Procedimiento Administrativo de Ejecución, en el sentido de que después de hacerle saber al particular la determinación del crédito fiscal, y si este no es pagado se inicia dicho procedimiento, para lo cual las autoridades fiscales, requerirán al deudor, para que efectúe el pago dentro de los seis días siguientes a la notificación de dicho requerimiento, si no lo hace, se procede a embargar bienes suficientes para, en su caso, rematarlos o enajenarlos, dicho embargo requiere ciertas formalidades, para determinar la base para la enajenación del bien embargado, realizándose peritaje por un profesional autorizado por la Tesorería Municipal. -----------------------------------------------------</w:t>
      </w:r>
    </w:p>
    <w:p w:rsidR="0004004F" w:rsidRPr="0004004F" w:rsidRDefault="0004004F" w:rsidP="0004004F">
      <w:pPr>
        <w:tabs>
          <w:tab w:val="left" w:pos="3975"/>
        </w:tabs>
        <w:spacing w:after="0" w:line="360" w:lineRule="auto"/>
        <w:ind w:firstLine="709"/>
        <w:jc w:val="both"/>
        <w:rPr>
          <w:rFonts w:ascii="Verdana" w:eastAsia="Calibri" w:hAnsi="Verdana" w:cs="Arial"/>
          <w:sz w:val="20"/>
          <w:szCs w:val="20"/>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 xml:space="preserve">Así las cosas, se aprecia del oficio número TML/DGI/6396/2015 (Letra T letra M letra L letra D letra G letra I seis tres nueve seis dos mil quince) de fecha 23 veintitrés de abril del año 2015 dos mil quince, que se designa perito con la finalidad de que emita un avalúo respecto del bien inmueble ubicado en </w:t>
      </w:r>
      <w:r w:rsidRPr="0004004F">
        <w:rPr>
          <w:rFonts w:ascii="Century" w:eastAsia="Calibri" w:hAnsi="Century" w:cs="Times New Roman"/>
          <w:i/>
          <w:lang w:eastAsia="es-ES"/>
        </w:rPr>
        <w:t xml:space="preserve">“LOTE DE TERRENO FRACCIONAMIENTO LOMAS DEL CAMPESTRE PRIEMRA SECCIÓN SEGUNDA ETAPA EN LOTE 38 MANZANA 10 </w:t>
      </w:r>
      <w:r w:rsidRPr="0004004F">
        <w:rPr>
          <w:rFonts w:ascii="Century" w:eastAsia="Calibri" w:hAnsi="Century" w:cs="Times New Roman"/>
          <w:i/>
          <w:sz w:val="24"/>
          <w:szCs w:val="24"/>
          <w:lang w:eastAsia="es-ES"/>
        </w:rPr>
        <w:t>con cuenta predial 01D002451001, con superficie de 360m2,</w:t>
      </w:r>
      <w:r w:rsidRPr="0004004F">
        <w:rPr>
          <w:rFonts w:ascii="Century" w:eastAsia="Calibri" w:hAnsi="Century" w:cs="Times New Roman"/>
          <w:i/>
          <w:lang w:eastAsia="es-ES"/>
        </w:rPr>
        <w:t xml:space="preserve"> </w:t>
      </w:r>
      <w:r w:rsidRPr="0004004F">
        <w:rPr>
          <w:rFonts w:ascii="Century" w:eastAsia="Calibri" w:hAnsi="Century" w:cs="Times New Roman"/>
          <w:lang w:eastAsia="es-ES"/>
        </w:rPr>
        <w:t>pro</w:t>
      </w:r>
      <w:r w:rsidRPr="0004004F">
        <w:rPr>
          <w:rFonts w:ascii="Century" w:eastAsia="Calibri" w:hAnsi="Century" w:cs="Times New Roman"/>
          <w:sz w:val="24"/>
          <w:szCs w:val="24"/>
          <w:lang w:val="es-ES" w:eastAsia="es-ES"/>
        </w:rPr>
        <w:t xml:space="preserve">piedad del actor, el cual se embargó dentro del Procedimiento Administrativo de Ejecución para hacer efectivo el pago de diversas infracciones con número </w:t>
      </w:r>
      <w:r w:rsidRPr="0004004F">
        <w:rPr>
          <w:rFonts w:ascii="Century" w:eastAsia="Calibri" w:hAnsi="Century" w:cs="Times New Roman"/>
          <w:sz w:val="24"/>
          <w:szCs w:val="24"/>
          <w:lang w:eastAsia="es-ES"/>
        </w:rPr>
        <w:t>185-7 (uno ocho cinco siete), 997-1 (nueve nueve siete uno), 2465-0 (dos cuatro seis cinco cero), 2973-0 (dos nueve siete tres cero), 8042-1 (ocho cero cuatro dos uno), 8050-1 (ocho cero cinco cero uno), 8395-0 (ocho tres nueve cinco cero), 10304-1 (uno cero tres cero cuatro uno), 10766-1 (uno cero siete seis seis uno), 27132-0 (dos siete uno tres dos cero), 27637-0 (dos siete seis tres siete cero), 30081-0 (tres cero cero ocho uno cero), 36580-0 (tres seis cinco ocho cero cero), 37229 -037972-0 (tres siete dos dos nueve cero tres siete nueve siete dos cero). -----------------------------</w:t>
      </w:r>
    </w:p>
    <w:p w:rsidR="0004004F" w:rsidRPr="0004004F" w:rsidRDefault="0004004F" w:rsidP="0004004F">
      <w:pPr>
        <w:spacing w:after="0" w:line="240" w:lineRule="auto"/>
        <w:ind w:firstLine="709"/>
        <w:jc w:val="both"/>
        <w:rPr>
          <w:rFonts w:ascii="Century" w:eastAsia="Calibri" w:hAnsi="Century" w:cs="Times New Roman"/>
          <w:bCs/>
          <w:i/>
          <w:iCs/>
          <w:sz w:val="24"/>
          <w:szCs w:val="24"/>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 xml:space="preserve">Así las cosas, para que las autoridades demandadas llegaran a emitir dicho oficio, tuvieron en primer término que determinar y notificar la determinación del crédito fiscal, lo anterior, con la finalidad de que el </w:t>
      </w:r>
      <w:r w:rsidRPr="0004004F">
        <w:rPr>
          <w:rFonts w:ascii="Century" w:eastAsia="Calibri" w:hAnsi="Century" w:cs="Times New Roman"/>
          <w:sz w:val="24"/>
          <w:szCs w:val="24"/>
          <w:lang w:val="es-ES" w:eastAsia="es-ES"/>
        </w:rPr>
        <w:lastRenderedPageBreak/>
        <w:t>justiciable, este en posibilidad de conocer de dónde deriva dicho crédito, monto, lo anterior con la finalidad de que el actor lo pueda controvertir o bien, llevar a cabo su pago de manera voluntaria, si el notificado (contribuyente) no lo realiza, se inicia el procedimiento administrativo de ejecución, requiriéndolo para que efectúe el pago dentro de los seis días siguientes de la referida notificación, apercibiéndolo que de no hacerlo, se le embargarán bienes suficientes para hacer efectivo el correspondiente crédito fiscal y sus accesorios. Una vez transcurrido el plazo de seis días, si el contribuyente notificado no ha cubierto totalmente el crédito fiscal a su cargo, las autoridades fiscales procederán a embargar bienes del deudor, en caso de tratarse de bienes inmuebles, el embargo debe inscribirse en el Registro Público. ---------------------</w:t>
      </w:r>
    </w:p>
    <w:p w:rsidR="0004004F" w:rsidRPr="0004004F" w:rsidRDefault="0004004F" w:rsidP="0004004F">
      <w:pPr>
        <w:spacing w:after="0" w:line="240" w:lineRule="auto"/>
        <w:jc w:val="both"/>
        <w:rPr>
          <w:rFonts w:ascii="Verdana" w:eastAsia="Calibri" w:hAnsi="Verdana" w:cs="Arial"/>
          <w:sz w:val="20"/>
          <w:szCs w:val="20"/>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r w:rsidRPr="0004004F">
        <w:rPr>
          <w:rFonts w:ascii="Century" w:eastAsia="Calibri" w:hAnsi="Century" w:cs="Times New Roman"/>
          <w:bCs/>
          <w:sz w:val="24"/>
          <w:szCs w:val="24"/>
          <w:lang w:val="es-ES" w:eastAsia="es-ES"/>
        </w:rPr>
        <w:t xml:space="preserve">Después de lo anterior, si aún no se obtiene el pago del deudor, se determina la </w:t>
      </w:r>
      <w:r w:rsidRPr="0004004F">
        <w:rPr>
          <w:rFonts w:ascii="Century" w:eastAsia="Calibri" w:hAnsi="Century" w:cs="Times New Roman"/>
          <w:sz w:val="24"/>
          <w:szCs w:val="24"/>
          <w:lang w:val="es-ES" w:eastAsia="es-ES"/>
        </w:rPr>
        <w:t>base para la enajenación de los bienes embargados, que será la que resulte del avalúo pericial, practicado por el perito autorizado por la Tesorería Municipal y los resultados deberán ser notificados personalmente al embargado o terceros acreedores. -------------------------------------------------------------</w:t>
      </w: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 xml:space="preserve"> </w:t>
      </w: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Sobre lo anterior, es importante precisar que de acuerdo con lo dispuesto por los artículos 47 del Código de Procedimiento y Justicia Administrativa para el Estado y los Municipio de Guanajuato y 40 de la Ley de Hacienda para los Municipios del Estado de Guanajuato, los actos administrativos se presumen legales, sin embargo, las autoridades administrativas deberán probar los hechos que</w:t>
      </w:r>
      <w:r w:rsidRPr="0004004F">
        <w:rPr>
          <w:rFonts w:ascii="Verdana" w:eastAsia="Calibri" w:hAnsi="Verdana" w:cs="Arial"/>
          <w:sz w:val="20"/>
          <w:szCs w:val="20"/>
          <w:lang w:val="es-ES" w:eastAsia="es-ES"/>
        </w:rPr>
        <w:t xml:space="preserve"> </w:t>
      </w:r>
      <w:r w:rsidRPr="0004004F">
        <w:rPr>
          <w:rFonts w:ascii="Century" w:eastAsia="Calibri" w:hAnsi="Century" w:cs="Times New Roman"/>
          <w:sz w:val="24"/>
          <w:szCs w:val="24"/>
          <w:lang w:val="es-ES" w:eastAsia="es-ES"/>
        </w:rPr>
        <w:t>los motiven cuando el interesado los niegue lisa y llanamente, a menos que la negativa implique la afirmación de otro hecho.----</w:t>
      </w:r>
    </w:p>
    <w:p w:rsidR="0004004F" w:rsidRPr="0004004F" w:rsidRDefault="0004004F" w:rsidP="0004004F">
      <w:pPr>
        <w:tabs>
          <w:tab w:val="left" w:pos="3975"/>
        </w:tabs>
        <w:spacing w:after="0" w:line="360" w:lineRule="auto"/>
        <w:ind w:firstLine="709"/>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Luego entonces, los artículos antes referidos establecen la presunción de legalidad de que se encuentran investidos las resoluciones y actos administrativos y/o fiscales, pero no de la existencia de los hechos que motiven tales resoluciones y actos. Ante ello, si el afectado por un acto o resolución fiscal niega lisa y llanamente los hechos que lo hayan originado, se impone la obligación a la autoridad administrativa de probar tales hechos, siempre que la misma no implique, a su vez, una afirmación. ----------------------------------------</w:t>
      </w:r>
    </w:p>
    <w:p w:rsidR="0004004F" w:rsidRPr="0004004F" w:rsidRDefault="0004004F" w:rsidP="0004004F">
      <w:pPr>
        <w:tabs>
          <w:tab w:val="left" w:pos="3975"/>
        </w:tabs>
        <w:spacing w:after="0" w:line="360" w:lineRule="auto"/>
        <w:ind w:firstLine="709"/>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lastRenderedPageBreak/>
        <w:t xml:space="preserve">En el caso en comento, el actor negó, precisamente en el punto 2.- dos del capítulo de “HECHOS” de su escrito de demanda, que se le hayan notificado personalmente los proveídos de multa y/o infracciones siguientes: </w:t>
      </w:r>
      <w:r w:rsidRPr="0004004F">
        <w:rPr>
          <w:rFonts w:ascii="Century" w:eastAsia="Calibri" w:hAnsi="Century" w:cs="Times New Roman"/>
          <w:sz w:val="24"/>
          <w:szCs w:val="24"/>
          <w:lang w:eastAsia="es-ES"/>
        </w:rPr>
        <w:t xml:space="preserve">185-7 (uno ocho cinco siete), 997-1 (nueve nueve siete uno), 2465-0 (dos cuatro seis cinco cero), 2973-0 (dos nueve siete tres cero), 8042-1 (ocho cero cuatro dos uno), 8050-1 (ocho cero cinco cero uno), 8395-0 (ocho tres nueve cinco cero), 10304-1 (uno cero tres cero cuatro uno), 10766-1 (uno cero siete seis seis uno), 27132-0 (dos siete uno tres dos cero), 27637-0 (dos siete seis tres siete cero), 30081-0 (tres cero cero ocho uno cero), 36580-0 (tres seis cinco ocho cero cero), 37229 -037972-0 (tres siete dos dos nueve cero tres siete nueve siete dos cero), </w:t>
      </w:r>
      <w:r w:rsidRPr="0004004F">
        <w:rPr>
          <w:rFonts w:ascii="Century" w:eastAsia="Calibri" w:hAnsi="Century" w:cs="Times New Roman"/>
          <w:sz w:val="24"/>
          <w:szCs w:val="24"/>
          <w:lang w:val="es-ES" w:eastAsia="es-ES"/>
        </w:rPr>
        <w:t>en tal sentido, nació para la autoridad demandada la carga de acreditar en la presente causa administrativa que sí llevó a cabo tales notificaciones, es decir, que al actor se le haya notificado la determinación y liquidación de los anteriores créditos fiscales. Lo anterior con la finalidad de que el justiciable conozca de una manera completa, clara y precisa, de dónde devienen las infracciones referidas, cuándo se generaron, que autoridad la emitió y el monto de cada una de ellas, para que así el actor tenga la real posibilidad de controvertirlas y debatirlas.---------------------------------------------------------------------</w:t>
      </w:r>
    </w:p>
    <w:p w:rsidR="0004004F" w:rsidRPr="0004004F" w:rsidRDefault="0004004F" w:rsidP="0004004F">
      <w:pPr>
        <w:tabs>
          <w:tab w:val="left" w:pos="3975"/>
        </w:tabs>
        <w:spacing w:after="0" w:line="360" w:lineRule="auto"/>
        <w:ind w:firstLine="709"/>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Por lo que, para desvirtuar la negativa del actor; es decir, probar que se siguió el procedimiento previsto por la Ley de Hacienda para los Municipios del Estado de Guanajuato, antes de que la autoridad demanda designará perito valuador, debió aportar las documentales que acreditaran que le fue determinado y notificado el competente crédito fiscal, que le fue notificado y realizado el requerimiento de pago, que se llevó a cabo el embargo del bien inmueble,; y es el caso que dentro de la presente causa administrativa las autoridades demandadas no aportaron constancia alguna para acreditar que efectivamente fue llevado a cabo el procedimiento en los términos señalados en la Ley de Hacienda para los Municipios del Estado de Guanajuato. ----------</w:t>
      </w: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 xml:space="preserve">En virtud de lo anterior, y considerando que la autoridad encausada no acreditó que se hubiese notificado al actor la resolución determinante del crédito fiscal, en el cual se le de conocer al justiciable el acto de molestia y el por qué se genera él mismo, estableciéndose, además la cantidad líquida que </w:t>
      </w:r>
      <w:r w:rsidRPr="0004004F">
        <w:rPr>
          <w:rFonts w:ascii="Century" w:eastAsia="Calibri" w:hAnsi="Century" w:cs="Times New Roman"/>
          <w:sz w:val="24"/>
          <w:szCs w:val="24"/>
          <w:lang w:val="es-ES" w:eastAsia="es-ES"/>
        </w:rPr>
        <w:lastRenderedPageBreak/>
        <w:t>se causa y desglosar el concepto a que corresponde (impuesto, multas, recargos y otras que se pudieran incluir en el caso en concreto), a fin de que el contribuyente este en posibilidad de saber y en su caso, debatir la cantidad líquida que se le está cobrando. ---------------------------------------------------------------</w:t>
      </w:r>
    </w:p>
    <w:p w:rsidR="0004004F" w:rsidRPr="0004004F" w:rsidRDefault="0004004F" w:rsidP="0004004F">
      <w:pPr>
        <w:tabs>
          <w:tab w:val="left" w:pos="3975"/>
        </w:tabs>
        <w:spacing w:after="0" w:line="360" w:lineRule="auto"/>
        <w:ind w:firstLine="709"/>
        <w:jc w:val="both"/>
        <w:rPr>
          <w:rFonts w:ascii="Times New Roman" w:eastAsia="Calibri" w:hAnsi="Times New Roman" w:cs="Times New Roman"/>
          <w:sz w:val="24"/>
          <w:szCs w:val="24"/>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 xml:space="preserve">Así las cosas, al no demostrarse la existencia del documento determinante del crédito respecto a las infracciones folio número185-7 (uno ocho cinco siete), 997-1 (nueve nueve siete uno), 2465-0 (dos cuatro seis cinco cero), 2973-0 (dos nueve siete tres cero), 8042-1 (ocho cero cuatro dos uno), 8050-1 (ocho cero cinco cero uno), 8395-0 (ocho tres nueve cinco cero), 10304-1 (uno cero tres cero cuatro uno), 10766-1 (uno cero siete seis seis uno), 27132-0 (dos siete uno tres dos cero), 27637-0 (dos siete seis tres siete cero), 30081-0 (tres cero cero ocho uno cero), 36580-0 (tres seis cinco ocho cero cero), 37229 -037972-0 (tres siete dos dos nueve cero tres siete nueve siete dos cero); y que los restantes actos del procedimiento administrativo de ejecución, se hayan emitido y que son el sustento para una solicitud de avalúo; luego entonces, el procedimiento administrativo de ejecución debe declararse nulo, de conformidad con lo dispuesto en el artículo 302, fracción II del Código de Procedimiento y Justicia Administrativa para el Estado y los Municipios de Guanajuato; por lo que procede decretar la </w:t>
      </w:r>
      <w:r w:rsidRPr="0004004F">
        <w:rPr>
          <w:rFonts w:ascii="Century" w:eastAsia="Calibri" w:hAnsi="Century" w:cs="Times New Roman"/>
          <w:b/>
          <w:sz w:val="24"/>
          <w:szCs w:val="24"/>
          <w:lang w:val="es-ES" w:eastAsia="es-ES"/>
        </w:rPr>
        <w:t>NULIDAD TOTAL</w:t>
      </w:r>
      <w:r w:rsidRPr="0004004F">
        <w:rPr>
          <w:rFonts w:ascii="Century" w:eastAsia="Calibri" w:hAnsi="Century" w:cs="Times New Roman"/>
          <w:sz w:val="24"/>
          <w:szCs w:val="24"/>
          <w:lang w:val="es-ES" w:eastAsia="es-ES"/>
        </w:rPr>
        <w:t xml:space="preserve"> del Procedimiento Administrativo de Ejecución llevado a cabo para hacer efectivo el pago del crédito fiscal número 185-7 (uno ocho cinco siete), 997-1 (nueve nueve siete uno), 2465-0 (dos cuatro seis cinco cero), 2973-0 (dos nueve siete tres cero), 8042-1 (ocho cero cuatro dos uno), 8050-1 (ocho cero cinco cero uno), 8395-0 (ocho tres nueve cinco cero), 10304-1 (uno cero tres cero cuatro uno), 10766-1 (uno cero siete seis seis uno), 27132-0 (dos siete uno tres dos cero), 27637-0 (dos siete seis tres siete cero), 30081-0 (tres cero cero ocho uno cero), 36580-0 (tres seis cinco ocho cero cero), 37229 -037972-0 (tres siete dos dos nueve cero tres siete nueve siete dos cero); así como de la designación de perito y solicitud de avalúo para remate contenida en el oficio TML/DGI/6396/2015 (Letra T letra M letra L letra D letra G letra I seis tres nueve seis dos mil quince) de fecha 23 veintitrés de abril del año 2015 dos mil quince; respecto de un inmueble propiedad del actor, ubicado en </w:t>
      </w:r>
      <w:r w:rsidRPr="0004004F">
        <w:rPr>
          <w:rFonts w:ascii="Century" w:eastAsia="Calibri" w:hAnsi="Century" w:cs="Times New Roman"/>
          <w:i/>
          <w:sz w:val="24"/>
          <w:szCs w:val="24"/>
          <w:lang w:val="es-ES" w:eastAsia="es-ES"/>
        </w:rPr>
        <w:t xml:space="preserve">“LOTE DE TERRENO FRACCIONAMIENTO LOMAS DEL CAMPESTRE PRIEMRA SECCIÓN </w:t>
      </w:r>
      <w:r w:rsidRPr="0004004F">
        <w:rPr>
          <w:rFonts w:ascii="Century" w:eastAsia="Calibri" w:hAnsi="Century" w:cs="Times New Roman"/>
          <w:i/>
          <w:sz w:val="24"/>
          <w:szCs w:val="24"/>
          <w:lang w:val="es-ES" w:eastAsia="es-ES"/>
        </w:rPr>
        <w:lastRenderedPageBreak/>
        <w:t>SEGUNDA ETAPA EN LOTE 38 MANZANA 10 con cuenta predial 01D002451001, con superficie de 360m2”</w:t>
      </w:r>
      <w:r w:rsidRPr="0004004F">
        <w:rPr>
          <w:rFonts w:ascii="Century" w:eastAsia="Calibri" w:hAnsi="Century" w:cs="Times New Roman"/>
          <w:sz w:val="24"/>
          <w:szCs w:val="24"/>
          <w:lang w:val="es-ES" w:eastAsia="es-ES"/>
        </w:rPr>
        <w:t>, y que fue embargado en el procedimiento administrativo de ejecución antes mencionado. ----------------------</w:t>
      </w:r>
    </w:p>
    <w:p w:rsidR="0004004F" w:rsidRPr="0004004F" w:rsidRDefault="0004004F" w:rsidP="0004004F">
      <w:pPr>
        <w:spacing w:after="0" w:line="360" w:lineRule="auto"/>
        <w:ind w:firstLine="708"/>
        <w:jc w:val="both"/>
        <w:rPr>
          <w:rFonts w:ascii="Times New Roman" w:eastAsia="Calibri" w:hAnsi="Times New Roman" w:cs="Times New Roman"/>
          <w:sz w:val="24"/>
          <w:szCs w:val="24"/>
          <w:lang w:eastAsia="es-ES"/>
        </w:rPr>
      </w:pPr>
    </w:p>
    <w:p w:rsidR="0004004F" w:rsidRPr="0004004F" w:rsidRDefault="0004004F" w:rsidP="0004004F">
      <w:pPr>
        <w:spacing w:after="0" w:line="360" w:lineRule="auto"/>
        <w:ind w:firstLine="708"/>
        <w:jc w:val="both"/>
        <w:rPr>
          <w:rFonts w:ascii="Century" w:eastAsia="Calibri" w:hAnsi="Century" w:cs="Calibri"/>
          <w:b/>
          <w:bCs/>
          <w:sz w:val="24"/>
          <w:szCs w:val="24"/>
          <w:lang w:eastAsia="es-ES"/>
        </w:rPr>
      </w:pPr>
      <w:r w:rsidRPr="0004004F">
        <w:rPr>
          <w:rFonts w:ascii="Century" w:eastAsia="Calibri" w:hAnsi="Century" w:cs="Times New Roman"/>
          <w:b/>
          <w:sz w:val="24"/>
          <w:szCs w:val="24"/>
          <w:lang w:eastAsia="es-ES"/>
        </w:rPr>
        <w:t xml:space="preserve">SÉPTIMO. </w:t>
      </w:r>
      <w:r w:rsidRPr="0004004F">
        <w:rPr>
          <w:rFonts w:ascii="Century" w:eastAsia="Calibri" w:hAnsi="Century" w:cs="Arial"/>
          <w:sz w:val="24"/>
          <w:szCs w:val="24"/>
          <w:lang w:eastAsia="es-ES"/>
        </w:rPr>
        <w:t>En virtud de que el argumento estudiado resultó fundado y es suficiente para declarar la nulidad total del acto impugnado; resulta innecesario el estudio de los conceptos de impugnación restantes, ya que su análisis no afectaría ni variaría el sentido de esta resolución. ----------------------</w:t>
      </w:r>
    </w:p>
    <w:p w:rsidR="0004004F" w:rsidRPr="0004004F" w:rsidRDefault="0004004F" w:rsidP="0004004F">
      <w:pPr>
        <w:spacing w:after="0" w:line="360" w:lineRule="auto"/>
        <w:jc w:val="both"/>
        <w:rPr>
          <w:rFonts w:ascii="Century" w:eastAsia="Calibri" w:hAnsi="Century" w:cs="Arial"/>
          <w:sz w:val="24"/>
          <w:szCs w:val="24"/>
          <w:lang w:eastAsia="es-ES"/>
        </w:rPr>
      </w:pPr>
    </w:p>
    <w:p w:rsidR="0004004F" w:rsidRPr="0004004F" w:rsidRDefault="0004004F" w:rsidP="0004004F">
      <w:pPr>
        <w:spacing w:after="0" w:line="360" w:lineRule="auto"/>
        <w:ind w:firstLine="708"/>
        <w:jc w:val="both"/>
        <w:rPr>
          <w:rFonts w:ascii="Century" w:eastAsia="Calibri" w:hAnsi="Century" w:cs="Arial"/>
          <w:sz w:val="24"/>
          <w:szCs w:val="24"/>
          <w:lang w:eastAsia="es-ES"/>
        </w:rPr>
      </w:pPr>
      <w:r w:rsidRPr="0004004F">
        <w:rPr>
          <w:rFonts w:ascii="Century" w:eastAsia="Calibri" w:hAnsi="Century" w:cs="Arial"/>
          <w:sz w:val="24"/>
          <w:szCs w:val="24"/>
          <w:lang w:eastAsia="es-ES"/>
        </w:rPr>
        <w:t>Sirve de apoyo a lo anterior la tesis de jurisprudencia que dispone: ------</w:t>
      </w:r>
    </w:p>
    <w:p w:rsidR="0004004F" w:rsidRPr="0004004F" w:rsidRDefault="0004004F" w:rsidP="0004004F">
      <w:pPr>
        <w:spacing w:after="0" w:line="240" w:lineRule="auto"/>
        <w:ind w:firstLine="708"/>
        <w:jc w:val="both"/>
        <w:rPr>
          <w:rFonts w:ascii="Century" w:eastAsia="Calibri" w:hAnsi="Century" w:cs="Arial"/>
          <w:sz w:val="24"/>
          <w:szCs w:val="24"/>
          <w:lang w:eastAsia="es-ES"/>
        </w:rPr>
      </w:pPr>
    </w:p>
    <w:p w:rsidR="0004004F" w:rsidRPr="0004004F" w:rsidRDefault="0004004F" w:rsidP="0004004F">
      <w:pPr>
        <w:spacing w:after="0" w:line="240" w:lineRule="auto"/>
        <w:ind w:firstLine="709"/>
        <w:jc w:val="both"/>
        <w:rPr>
          <w:rFonts w:ascii="Century" w:eastAsia="Calibri" w:hAnsi="Century" w:cs="Times New Roman"/>
          <w:i/>
          <w:sz w:val="24"/>
          <w:szCs w:val="24"/>
          <w:lang w:eastAsia="es-ES"/>
        </w:rPr>
      </w:pPr>
      <w:r w:rsidRPr="0004004F">
        <w:rPr>
          <w:rFonts w:ascii="Century" w:eastAsia="Calibri" w:hAnsi="Century" w:cs="Times New Roman"/>
          <w:b/>
          <w:bCs/>
          <w:i/>
          <w:iCs/>
          <w:sz w:val="24"/>
          <w:szCs w:val="24"/>
          <w:lang w:eastAsia="es-ES"/>
        </w:rPr>
        <w:t xml:space="preserve">“CONCEPTOS DE VIOLACION. CUANDO SU ESTUDIO ES INNECESARIO. </w:t>
      </w:r>
      <w:r w:rsidRPr="0004004F">
        <w:rPr>
          <w:rFonts w:ascii="Century" w:eastAsia="Calibri" w:hAnsi="Century" w:cs="Times New Roman"/>
          <w:i/>
          <w:iCs/>
          <w:sz w:val="24"/>
          <w:szCs w:val="24"/>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4004F">
        <w:rPr>
          <w:rFonts w:ascii="Century" w:eastAsia="Calibri" w:hAnsi="Century" w:cs="Times New Roman"/>
          <w:i/>
          <w:sz w:val="24"/>
          <w:szCs w:val="24"/>
          <w:lang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4004F" w:rsidRPr="0004004F" w:rsidRDefault="0004004F" w:rsidP="0004004F">
      <w:pPr>
        <w:spacing w:after="0" w:line="240" w:lineRule="auto"/>
        <w:ind w:firstLine="709"/>
        <w:jc w:val="both"/>
        <w:rPr>
          <w:rFonts w:ascii="Century" w:eastAsia="Calibri" w:hAnsi="Century" w:cs="Times New Roman"/>
          <w:b/>
          <w:sz w:val="24"/>
          <w:szCs w:val="24"/>
          <w:lang w:eastAsia="es-ES"/>
        </w:rPr>
      </w:pPr>
    </w:p>
    <w:p w:rsidR="0004004F" w:rsidRPr="0004004F" w:rsidRDefault="0004004F" w:rsidP="0004004F">
      <w:pPr>
        <w:tabs>
          <w:tab w:val="left" w:pos="3975"/>
        </w:tabs>
        <w:spacing w:after="0" w:line="360" w:lineRule="auto"/>
        <w:ind w:firstLine="709"/>
        <w:jc w:val="both"/>
        <w:rPr>
          <w:rFonts w:ascii="Times New Roman" w:eastAsia="Calibri" w:hAnsi="Times New Roman" w:cs="Times New Roman"/>
          <w:sz w:val="24"/>
          <w:szCs w:val="24"/>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r w:rsidRPr="0004004F">
        <w:rPr>
          <w:rFonts w:ascii="Century" w:eastAsia="Calibri" w:hAnsi="Century" w:cs="Times New Roman"/>
          <w:sz w:val="24"/>
          <w:szCs w:val="24"/>
          <w:lang w:val="es-ES" w:eastAsia="es-ES"/>
        </w:rPr>
        <w:t>Por lo expuesto, y con fundamento además en lo dispuesto en los artículos 47, 249, 287, 298, 299, 300, fracción II y 302, fracción III, del Código de Procedimiento y Justicia Administrativa para el Estado y los Municipios de Guanajuato, es de resolverse y se: ------------------------------------------------------------</w:t>
      </w: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p>
    <w:p w:rsidR="0004004F" w:rsidRPr="0004004F" w:rsidRDefault="0004004F" w:rsidP="0004004F">
      <w:pPr>
        <w:spacing w:after="0" w:line="360" w:lineRule="auto"/>
        <w:ind w:firstLine="708"/>
        <w:jc w:val="both"/>
        <w:rPr>
          <w:rFonts w:ascii="Century" w:eastAsia="Calibri" w:hAnsi="Century" w:cs="Times New Roman"/>
          <w:sz w:val="24"/>
          <w:szCs w:val="24"/>
          <w:lang w:val="es-ES" w:eastAsia="es-ES"/>
        </w:rPr>
      </w:pPr>
    </w:p>
    <w:p w:rsidR="0004004F" w:rsidRPr="0004004F" w:rsidRDefault="0004004F" w:rsidP="0004004F">
      <w:pPr>
        <w:spacing w:after="0" w:line="240" w:lineRule="auto"/>
        <w:jc w:val="center"/>
        <w:rPr>
          <w:rFonts w:ascii="Century" w:eastAsia="Calibri" w:hAnsi="Century" w:cs="Calibri"/>
          <w:iCs/>
          <w:sz w:val="24"/>
          <w:szCs w:val="24"/>
          <w:lang w:eastAsia="es-ES"/>
        </w:rPr>
      </w:pPr>
      <w:r w:rsidRPr="0004004F">
        <w:rPr>
          <w:rFonts w:ascii="Century" w:eastAsia="Calibri" w:hAnsi="Century" w:cs="Calibri"/>
          <w:b/>
          <w:iCs/>
          <w:sz w:val="24"/>
          <w:szCs w:val="24"/>
          <w:lang w:eastAsia="es-ES"/>
        </w:rPr>
        <w:t xml:space="preserve">R E S U E L V E </w:t>
      </w:r>
      <w:r w:rsidRPr="0004004F">
        <w:rPr>
          <w:rFonts w:ascii="Century" w:eastAsia="Calibri" w:hAnsi="Century" w:cs="Calibri"/>
          <w:iCs/>
          <w:sz w:val="24"/>
          <w:szCs w:val="24"/>
          <w:lang w:eastAsia="es-ES"/>
        </w:rPr>
        <w:t>:</w:t>
      </w:r>
    </w:p>
    <w:p w:rsidR="0004004F" w:rsidRPr="0004004F" w:rsidRDefault="0004004F" w:rsidP="0004004F">
      <w:pPr>
        <w:spacing w:after="0" w:line="240" w:lineRule="auto"/>
        <w:jc w:val="center"/>
        <w:rPr>
          <w:rFonts w:ascii="Century" w:eastAsia="Calibri" w:hAnsi="Century" w:cs="Calibri"/>
          <w:iCs/>
          <w:sz w:val="24"/>
          <w:szCs w:val="24"/>
          <w:lang w:eastAsia="es-ES"/>
        </w:rPr>
      </w:pPr>
    </w:p>
    <w:p w:rsidR="0004004F" w:rsidRPr="0004004F" w:rsidRDefault="0004004F" w:rsidP="0004004F">
      <w:pPr>
        <w:spacing w:after="0" w:line="240" w:lineRule="auto"/>
        <w:jc w:val="both"/>
        <w:rPr>
          <w:rFonts w:ascii="Century" w:eastAsia="Calibri" w:hAnsi="Century" w:cs="Calibri"/>
          <w:sz w:val="24"/>
          <w:szCs w:val="24"/>
          <w:lang w:eastAsia="es-ES"/>
        </w:rPr>
      </w:pPr>
    </w:p>
    <w:p w:rsidR="0004004F" w:rsidRPr="0004004F" w:rsidRDefault="0004004F" w:rsidP="0004004F">
      <w:pPr>
        <w:spacing w:after="0" w:line="360" w:lineRule="auto"/>
        <w:ind w:firstLine="709"/>
        <w:jc w:val="both"/>
        <w:rPr>
          <w:rFonts w:ascii="Century" w:eastAsia="Calibri" w:hAnsi="Century" w:cs="Calibri"/>
          <w:sz w:val="24"/>
          <w:szCs w:val="24"/>
          <w:lang w:eastAsia="es-ES"/>
        </w:rPr>
      </w:pPr>
      <w:r w:rsidRPr="0004004F">
        <w:rPr>
          <w:rFonts w:ascii="Century" w:eastAsia="Calibri" w:hAnsi="Century" w:cs="Calibri"/>
          <w:b/>
          <w:bCs/>
          <w:iCs/>
          <w:sz w:val="24"/>
          <w:szCs w:val="24"/>
          <w:lang w:eastAsia="es-ES"/>
        </w:rPr>
        <w:t>PRIMERO</w:t>
      </w:r>
      <w:r w:rsidRPr="0004004F">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04004F" w:rsidRPr="0004004F" w:rsidRDefault="0004004F" w:rsidP="0004004F">
      <w:pPr>
        <w:spacing w:after="0" w:line="360" w:lineRule="auto"/>
        <w:ind w:firstLine="709"/>
        <w:jc w:val="both"/>
        <w:rPr>
          <w:rFonts w:ascii="Century" w:eastAsia="Calibri" w:hAnsi="Century" w:cs="Calibri"/>
          <w:sz w:val="24"/>
          <w:szCs w:val="24"/>
          <w:lang w:eastAsia="es-ES"/>
        </w:rPr>
      </w:pPr>
    </w:p>
    <w:p w:rsidR="0004004F" w:rsidRPr="0004004F" w:rsidRDefault="0004004F" w:rsidP="0004004F">
      <w:pPr>
        <w:spacing w:after="0" w:line="360" w:lineRule="auto"/>
        <w:ind w:firstLine="709"/>
        <w:jc w:val="both"/>
        <w:rPr>
          <w:rFonts w:ascii="Century" w:eastAsia="Calibri" w:hAnsi="Century" w:cs="Calibri"/>
          <w:b/>
          <w:bCs/>
          <w:iCs/>
          <w:sz w:val="24"/>
          <w:szCs w:val="24"/>
          <w:lang w:eastAsia="es-ES"/>
        </w:rPr>
      </w:pPr>
      <w:r w:rsidRPr="0004004F">
        <w:rPr>
          <w:rFonts w:ascii="Century" w:eastAsia="Calibri" w:hAnsi="Century" w:cs="Calibri"/>
          <w:b/>
          <w:bCs/>
          <w:iCs/>
          <w:sz w:val="24"/>
          <w:szCs w:val="24"/>
          <w:lang w:eastAsia="es-ES"/>
        </w:rPr>
        <w:t xml:space="preserve">SEGUNDO. </w:t>
      </w:r>
      <w:r w:rsidRPr="0004004F">
        <w:rPr>
          <w:rFonts w:ascii="Century" w:eastAsia="Calibri" w:hAnsi="Century" w:cs="Calibri"/>
          <w:sz w:val="24"/>
          <w:szCs w:val="24"/>
          <w:lang w:eastAsia="es-ES"/>
        </w:rPr>
        <w:t>Resultó procedente el proceso administrativo promovido por el justiciable. -----------------------------------------------------------------------------------</w:t>
      </w:r>
    </w:p>
    <w:p w:rsidR="0004004F" w:rsidRPr="0004004F" w:rsidRDefault="0004004F" w:rsidP="0004004F">
      <w:pPr>
        <w:spacing w:after="0" w:line="360" w:lineRule="auto"/>
        <w:ind w:firstLine="709"/>
        <w:jc w:val="both"/>
        <w:rPr>
          <w:rFonts w:ascii="Century" w:eastAsia="Calibri" w:hAnsi="Century" w:cs="Calibri"/>
          <w:b/>
          <w:bCs/>
          <w:iCs/>
          <w:sz w:val="24"/>
          <w:szCs w:val="24"/>
          <w:lang w:eastAsia="es-ES"/>
        </w:rPr>
      </w:pPr>
    </w:p>
    <w:p w:rsidR="0004004F" w:rsidRPr="0004004F" w:rsidRDefault="0004004F" w:rsidP="0004004F">
      <w:pPr>
        <w:spacing w:after="0" w:line="360" w:lineRule="auto"/>
        <w:ind w:firstLine="708"/>
        <w:jc w:val="both"/>
        <w:rPr>
          <w:rFonts w:ascii="Century" w:eastAsia="Calibri" w:hAnsi="Century" w:cs="Calibri"/>
          <w:sz w:val="24"/>
          <w:szCs w:val="24"/>
          <w:lang w:val="es-ES" w:eastAsia="es-ES"/>
        </w:rPr>
      </w:pPr>
      <w:r w:rsidRPr="0004004F">
        <w:rPr>
          <w:rFonts w:ascii="Century" w:eastAsia="Calibri" w:hAnsi="Century" w:cs="Calibri"/>
          <w:b/>
          <w:bCs/>
          <w:iCs/>
          <w:sz w:val="24"/>
          <w:szCs w:val="24"/>
          <w:lang w:val="es-ES" w:eastAsia="es-ES"/>
        </w:rPr>
        <w:lastRenderedPageBreak/>
        <w:t xml:space="preserve">TERCERO. </w:t>
      </w:r>
      <w:r w:rsidRPr="0004004F">
        <w:rPr>
          <w:rFonts w:ascii="Century" w:eastAsia="Calibri" w:hAnsi="Century" w:cs="Times New Roman"/>
          <w:sz w:val="24"/>
          <w:szCs w:val="24"/>
          <w:lang w:val="es-ES" w:eastAsia="es-ES"/>
        </w:rPr>
        <w:t xml:space="preserve">Se decreta </w:t>
      </w:r>
      <w:r w:rsidRPr="0004004F">
        <w:rPr>
          <w:rFonts w:ascii="Century" w:eastAsia="Calibri" w:hAnsi="Century" w:cs="Times New Roman"/>
          <w:bCs/>
          <w:sz w:val="24"/>
          <w:szCs w:val="24"/>
          <w:lang w:val="es-ES" w:eastAsia="es-ES"/>
        </w:rPr>
        <w:t>la</w:t>
      </w:r>
      <w:r w:rsidRPr="0004004F">
        <w:rPr>
          <w:rFonts w:ascii="Century" w:eastAsia="Calibri" w:hAnsi="Century" w:cs="Times New Roman"/>
          <w:b/>
          <w:bCs/>
          <w:sz w:val="24"/>
          <w:szCs w:val="24"/>
          <w:lang w:val="es-ES" w:eastAsia="es-ES"/>
        </w:rPr>
        <w:t xml:space="preserve"> nulidad total </w:t>
      </w:r>
      <w:r w:rsidRPr="0004004F">
        <w:rPr>
          <w:rFonts w:ascii="Century" w:eastAsia="Calibri" w:hAnsi="Century" w:cs="Times New Roman"/>
          <w:sz w:val="24"/>
          <w:szCs w:val="24"/>
          <w:lang w:val="es-ES" w:eastAsia="es-ES"/>
        </w:rPr>
        <w:t>del Procedimiento Administrativo de Ejecución para hacer efectivo el pago del crédito fiscal número 185-7 (uno ocho cinco siete), 997-1 (nueve nueve siete uno), 2465-0 (dos cuatro seis cinco cero), 2973-0 (dos nueve siete tres cero), 8042-1 (ocho cero cuatro dos uno), 8050-1 (ocho cero cinco cero uno), 8395-0 (ocho tres nueve cinco cero), 10304-1 (uno cero tres cero cuatro uno), 10766-1 (uno cero siete seis seis uno), 27132-0 (dos siete uno tres dos cero), 27637-0 (dos siete seis tres siete cero), 30081-0 (tres cero cero ocho uno cero), 36580-0 (tres seis cinco ocho cero cero), 37229 -037972-0 (tres siete dos dos nueve cero tres siete nueve siete dos cero); así como de la designación de perito y solicitud de avalúo, contenida en el oficio TML/DGI/6396/2015 (Letra T letra M letra L letra D letra G letra I seis tres nueve seis dos mil quince) de fecha 23 veintitrés de abril del año 2015 dos mil quince. ello con</w:t>
      </w:r>
      <w:r w:rsidRPr="0004004F">
        <w:rPr>
          <w:rFonts w:ascii="Century" w:eastAsia="Calibri" w:hAnsi="Century" w:cs="Calibri"/>
          <w:sz w:val="24"/>
          <w:szCs w:val="24"/>
          <w:lang w:val="es-ES" w:eastAsia="es-ES"/>
        </w:rPr>
        <w:t xml:space="preserve"> base a las consideraciones lógicas y jurídicas expresadas en el Considerando Sexto de esta sentencia. ------------------------------</w:t>
      </w:r>
    </w:p>
    <w:p w:rsidR="0004004F" w:rsidRPr="0004004F" w:rsidRDefault="0004004F" w:rsidP="0004004F">
      <w:pPr>
        <w:spacing w:after="0" w:line="360" w:lineRule="auto"/>
        <w:ind w:firstLine="708"/>
        <w:jc w:val="both"/>
        <w:rPr>
          <w:rFonts w:ascii="Century" w:eastAsia="Calibri" w:hAnsi="Century" w:cs="Calibri"/>
          <w:b/>
          <w:bCs/>
          <w:iCs/>
          <w:sz w:val="24"/>
          <w:szCs w:val="24"/>
          <w:lang w:val="es-ES" w:eastAsia="es-ES"/>
        </w:rPr>
      </w:pPr>
    </w:p>
    <w:p w:rsidR="0004004F" w:rsidRPr="0004004F" w:rsidRDefault="0004004F" w:rsidP="0004004F">
      <w:pPr>
        <w:spacing w:after="0" w:line="360" w:lineRule="auto"/>
        <w:ind w:firstLine="708"/>
        <w:jc w:val="both"/>
        <w:rPr>
          <w:rFonts w:ascii="Century" w:eastAsia="Calibri" w:hAnsi="Century" w:cs="Calibri"/>
          <w:sz w:val="24"/>
          <w:szCs w:val="24"/>
          <w:lang w:eastAsia="es-ES"/>
        </w:rPr>
      </w:pPr>
      <w:r w:rsidRPr="0004004F">
        <w:rPr>
          <w:rFonts w:ascii="Century" w:eastAsia="Calibri" w:hAnsi="Century" w:cs="Calibri"/>
          <w:b/>
          <w:sz w:val="24"/>
          <w:szCs w:val="24"/>
          <w:lang w:eastAsia="es-ES"/>
        </w:rPr>
        <w:t>Notifíquese a la autoridad demandada por oficio y a la parte actora personalmente.</w:t>
      </w:r>
      <w:r w:rsidRPr="0004004F">
        <w:rPr>
          <w:rFonts w:ascii="Century" w:eastAsia="Calibri" w:hAnsi="Century" w:cs="Calibri"/>
          <w:sz w:val="24"/>
          <w:szCs w:val="24"/>
          <w:lang w:eastAsia="es-ES"/>
        </w:rPr>
        <w:t xml:space="preserve"> ------------------------------------------------------------------------------------ </w:t>
      </w:r>
    </w:p>
    <w:p w:rsidR="0004004F" w:rsidRPr="0004004F" w:rsidRDefault="0004004F" w:rsidP="0004004F">
      <w:pPr>
        <w:spacing w:after="0" w:line="360" w:lineRule="auto"/>
        <w:jc w:val="both"/>
        <w:rPr>
          <w:rFonts w:ascii="Century" w:eastAsia="Calibri" w:hAnsi="Century" w:cs="Calibri"/>
          <w:sz w:val="24"/>
          <w:szCs w:val="24"/>
          <w:lang w:eastAsia="es-ES"/>
        </w:rPr>
      </w:pPr>
    </w:p>
    <w:p w:rsidR="0004004F" w:rsidRPr="0004004F" w:rsidRDefault="0004004F" w:rsidP="0004004F">
      <w:pPr>
        <w:spacing w:after="0" w:line="360" w:lineRule="auto"/>
        <w:ind w:firstLine="708"/>
        <w:jc w:val="both"/>
        <w:rPr>
          <w:rFonts w:ascii="Century" w:eastAsia="Calibri" w:hAnsi="Century" w:cs="Calibri"/>
          <w:b/>
          <w:bCs/>
          <w:sz w:val="24"/>
          <w:szCs w:val="24"/>
          <w:lang w:eastAsia="es-ES"/>
        </w:rPr>
      </w:pPr>
      <w:r w:rsidRPr="0004004F">
        <w:rPr>
          <w:rFonts w:ascii="Century" w:eastAsia="Calibri" w:hAnsi="Century" w:cs="Calibri"/>
          <w:sz w:val="24"/>
          <w:szCs w:val="24"/>
          <w:lang w:eastAsia="es-ES"/>
        </w:rPr>
        <w:t xml:space="preserve">En su oportunidad, archívese este expediente, como asunto totalmente concluido y dese de baja en el Libro de Registros que se lleva para tal efecto. - </w:t>
      </w:r>
    </w:p>
    <w:p w:rsidR="0004004F" w:rsidRPr="0004004F" w:rsidRDefault="0004004F" w:rsidP="0004004F">
      <w:pPr>
        <w:spacing w:after="0" w:line="360" w:lineRule="auto"/>
        <w:jc w:val="both"/>
        <w:rPr>
          <w:rFonts w:ascii="Century" w:eastAsia="Calibri" w:hAnsi="Century" w:cs="Calibri"/>
          <w:sz w:val="24"/>
          <w:szCs w:val="24"/>
          <w:lang w:eastAsia="es-ES"/>
        </w:rPr>
      </w:pPr>
    </w:p>
    <w:p w:rsidR="0004004F" w:rsidRPr="0004004F" w:rsidRDefault="0004004F" w:rsidP="0004004F">
      <w:pPr>
        <w:tabs>
          <w:tab w:val="left" w:pos="1252"/>
        </w:tabs>
        <w:spacing w:after="0" w:line="360" w:lineRule="auto"/>
        <w:ind w:firstLine="709"/>
        <w:jc w:val="both"/>
        <w:rPr>
          <w:rFonts w:ascii="Century" w:eastAsia="Calibri" w:hAnsi="Century" w:cs="Calibri"/>
          <w:sz w:val="24"/>
          <w:szCs w:val="24"/>
          <w:lang w:val="es-ES" w:eastAsia="es-ES"/>
        </w:rPr>
      </w:pPr>
      <w:r w:rsidRPr="0004004F">
        <w:rPr>
          <w:rFonts w:ascii="Century" w:eastAsia="Calibri" w:hAnsi="Century" w:cs="Calibri"/>
          <w:sz w:val="24"/>
          <w:szCs w:val="24"/>
          <w:lang w:val="es-ES" w:eastAsia="es-ES"/>
        </w:rPr>
        <w:t xml:space="preserve">Así lo resolvió y firma la Jueza del Juzgado Tercero Administrativo Municipal de León, Guanajuato, licenciada </w:t>
      </w:r>
      <w:r w:rsidRPr="0004004F">
        <w:rPr>
          <w:rFonts w:ascii="Century" w:eastAsia="Calibri" w:hAnsi="Century" w:cs="Calibri"/>
          <w:b/>
          <w:bCs/>
          <w:sz w:val="24"/>
          <w:szCs w:val="24"/>
          <w:lang w:val="es-ES" w:eastAsia="es-ES"/>
        </w:rPr>
        <w:t>María Guadalupe Garza Lozornio</w:t>
      </w:r>
      <w:r w:rsidRPr="0004004F">
        <w:rPr>
          <w:rFonts w:ascii="Century" w:eastAsia="Calibri" w:hAnsi="Century" w:cs="Calibri"/>
          <w:sz w:val="24"/>
          <w:szCs w:val="24"/>
          <w:lang w:val="es-ES" w:eastAsia="es-ES"/>
        </w:rPr>
        <w:t xml:space="preserve">, quien actúa asistida en forma legal con Secretario de Estudio y Cuenta, licenciado </w:t>
      </w:r>
      <w:r w:rsidRPr="0004004F">
        <w:rPr>
          <w:rFonts w:ascii="Century" w:eastAsia="Calibri" w:hAnsi="Century" w:cs="Calibri"/>
          <w:b/>
          <w:bCs/>
          <w:sz w:val="24"/>
          <w:szCs w:val="24"/>
          <w:lang w:val="es-ES" w:eastAsia="es-ES"/>
        </w:rPr>
        <w:t>Christian Helmut Emmanuel Schonwald Escalante</w:t>
      </w:r>
      <w:r w:rsidRPr="0004004F">
        <w:rPr>
          <w:rFonts w:ascii="Century" w:eastAsia="Calibri" w:hAnsi="Century" w:cs="Calibri"/>
          <w:bCs/>
          <w:sz w:val="24"/>
          <w:szCs w:val="24"/>
          <w:lang w:val="es-ES" w:eastAsia="es-ES"/>
        </w:rPr>
        <w:t>,</w:t>
      </w:r>
      <w:r w:rsidRPr="0004004F">
        <w:rPr>
          <w:rFonts w:ascii="Century" w:eastAsia="Calibri" w:hAnsi="Century" w:cs="Calibri"/>
          <w:b/>
          <w:bCs/>
          <w:sz w:val="24"/>
          <w:szCs w:val="24"/>
          <w:lang w:val="es-ES" w:eastAsia="es-ES"/>
        </w:rPr>
        <w:t xml:space="preserve"> </w:t>
      </w:r>
      <w:r w:rsidRPr="0004004F">
        <w:rPr>
          <w:rFonts w:ascii="Century" w:eastAsia="Calibri" w:hAnsi="Century" w:cs="Calibri"/>
          <w:sz w:val="24"/>
          <w:szCs w:val="24"/>
          <w:lang w:val="es-ES" w:eastAsia="es-ES"/>
        </w:rPr>
        <w:t>quien da fe. ---</w:t>
      </w:r>
    </w:p>
    <w:p w:rsidR="0004004F" w:rsidRPr="0004004F" w:rsidRDefault="0004004F" w:rsidP="0004004F">
      <w:pPr>
        <w:tabs>
          <w:tab w:val="left" w:pos="1252"/>
        </w:tabs>
        <w:spacing w:after="0" w:line="360" w:lineRule="auto"/>
        <w:ind w:firstLine="709"/>
        <w:jc w:val="both"/>
        <w:rPr>
          <w:rFonts w:ascii="Century" w:eastAsia="Calibri" w:hAnsi="Century" w:cs="Calibri"/>
          <w:sz w:val="24"/>
          <w:szCs w:val="24"/>
          <w:lang w:val="es-ES" w:eastAsia="es-ES"/>
        </w:rPr>
      </w:pPr>
    </w:p>
    <w:p w:rsidR="0004004F" w:rsidRPr="0004004F" w:rsidRDefault="0004004F" w:rsidP="0004004F">
      <w:pPr>
        <w:tabs>
          <w:tab w:val="left" w:pos="1252"/>
        </w:tabs>
        <w:spacing w:after="0" w:line="360" w:lineRule="auto"/>
        <w:ind w:firstLine="709"/>
        <w:jc w:val="both"/>
        <w:rPr>
          <w:rFonts w:ascii="Century" w:eastAsia="Calibri" w:hAnsi="Century" w:cs="Calibri"/>
          <w:sz w:val="24"/>
          <w:szCs w:val="24"/>
          <w:lang w:val="es-ES" w:eastAsia="es-ES"/>
        </w:rPr>
      </w:pPr>
    </w:p>
    <w:p w:rsidR="0004004F" w:rsidRPr="0004004F" w:rsidRDefault="0004004F" w:rsidP="0004004F">
      <w:pPr>
        <w:tabs>
          <w:tab w:val="left" w:pos="1252"/>
        </w:tabs>
        <w:spacing w:after="0" w:line="360" w:lineRule="auto"/>
        <w:ind w:firstLine="709"/>
        <w:jc w:val="both"/>
        <w:rPr>
          <w:rFonts w:ascii="Century" w:eastAsia="Calibri" w:hAnsi="Century" w:cs="Times New Roman"/>
          <w:sz w:val="24"/>
          <w:szCs w:val="24"/>
          <w:lang w:eastAsia="es-ES"/>
        </w:rPr>
      </w:pPr>
    </w:p>
    <w:p w:rsidR="0004004F" w:rsidRPr="0004004F" w:rsidRDefault="0004004F" w:rsidP="0004004F">
      <w:pPr>
        <w:tabs>
          <w:tab w:val="left" w:pos="1252"/>
        </w:tabs>
        <w:spacing w:after="0" w:line="360" w:lineRule="auto"/>
        <w:ind w:firstLine="709"/>
        <w:jc w:val="both"/>
        <w:rPr>
          <w:rFonts w:ascii="Century" w:eastAsia="Calibri" w:hAnsi="Century" w:cs="Times New Roman"/>
          <w:sz w:val="24"/>
          <w:szCs w:val="24"/>
          <w:lang w:eastAsia="es-ES"/>
        </w:rPr>
      </w:pPr>
    </w:p>
    <w:p w:rsidR="0004004F" w:rsidRPr="0004004F" w:rsidRDefault="0004004F" w:rsidP="0004004F">
      <w:pPr>
        <w:tabs>
          <w:tab w:val="left" w:pos="1252"/>
        </w:tabs>
        <w:spacing w:after="0" w:line="360" w:lineRule="auto"/>
        <w:ind w:firstLine="709"/>
        <w:jc w:val="both"/>
        <w:rPr>
          <w:rFonts w:ascii="Century" w:eastAsia="Calibri" w:hAnsi="Century" w:cs="Times New Roman"/>
          <w:sz w:val="24"/>
          <w:szCs w:val="24"/>
          <w:lang w:eastAsia="es-ES"/>
        </w:rPr>
      </w:pPr>
    </w:p>
    <w:p w:rsidR="0004004F" w:rsidRPr="0004004F" w:rsidRDefault="0004004F" w:rsidP="0004004F">
      <w:pPr>
        <w:tabs>
          <w:tab w:val="left" w:pos="1252"/>
        </w:tabs>
        <w:spacing w:after="0" w:line="360" w:lineRule="auto"/>
        <w:ind w:firstLine="709"/>
        <w:jc w:val="both"/>
        <w:rPr>
          <w:rFonts w:ascii="Century" w:eastAsia="Calibri" w:hAnsi="Century" w:cs="Times New Roman"/>
          <w:sz w:val="24"/>
          <w:szCs w:val="24"/>
          <w:lang w:eastAsia="es-ES"/>
        </w:rPr>
      </w:pPr>
    </w:p>
    <w:p w:rsidR="0004004F" w:rsidRPr="0004004F" w:rsidRDefault="0004004F" w:rsidP="0004004F">
      <w:pPr>
        <w:tabs>
          <w:tab w:val="left" w:pos="1252"/>
        </w:tabs>
        <w:spacing w:after="0" w:line="360" w:lineRule="auto"/>
        <w:ind w:firstLine="709"/>
        <w:jc w:val="both"/>
        <w:rPr>
          <w:rFonts w:ascii="Century" w:eastAsia="Calibri" w:hAnsi="Century" w:cs="Times New Roman"/>
          <w:sz w:val="24"/>
          <w:szCs w:val="24"/>
          <w:lang w:eastAsia="es-ES"/>
        </w:rPr>
      </w:pPr>
    </w:p>
    <w:p w:rsidR="0004004F" w:rsidRPr="0004004F" w:rsidRDefault="0004004F" w:rsidP="0004004F">
      <w:pPr>
        <w:tabs>
          <w:tab w:val="left" w:pos="1252"/>
        </w:tabs>
        <w:spacing w:after="0" w:line="360" w:lineRule="auto"/>
        <w:ind w:firstLine="709"/>
        <w:jc w:val="both"/>
        <w:rPr>
          <w:rFonts w:ascii="Century" w:eastAsia="Calibri" w:hAnsi="Century" w:cs="Times New Roman"/>
          <w:sz w:val="24"/>
          <w:szCs w:val="24"/>
          <w:lang w:eastAsia="es-ES"/>
        </w:rPr>
      </w:pPr>
    </w:p>
    <w:p w:rsidR="003E0C02" w:rsidRDefault="003E0C02"/>
    <w:sectPr w:rsidR="003E0C02" w:rsidSect="005E48B7">
      <w:headerReference w:type="even" r:id="rId6"/>
      <w:headerReference w:type="default" r:id="rId7"/>
      <w:footerReference w:type="even" r:id="rId8"/>
      <w:footerReference w:type="default" r:id="rId9"/>
      <w:headerReference w:type="first" r:id="rId10"/>
      <w:footerReference w:type="first" r:id="rId11"/>
      <w:pgSz w:w="12242" w:h="19278" w:code="505"/>
      <w:pgMar w:top="2722" w:right="1474" w:bottom="1985" w:left="2155" w:header="680"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F18" w:rsidRDefault="00BE2F18">
      <w:pPr>
        <w:spacing w:after="0" w:line="240" w:lineRule="auto"/>
      </w:pPr>
      <w:r>
        <w:separator/>
      </w:r>
    </w:p>
  </w:endnote>
  <w:endnote w:type="continuationSeparator" w:id="0">
    <w:p w:rsidR="00BE2F18" w:rsidRDefault="00BE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F4C4B" w:rsidRPr="005E48B7" w:rsidRDefault="0004004F">
            <w:pPr>
              <w:pStyle w:val="Piedepgina"/>
              <w:jc w:val="right"/>
              <w:rPr>
                <w:rFonts w:ascii="Century" w:hAnsi="Century"/>
                <w:sz w:val="14"/>
                <w:szCs w:val="14"/>
              </w:rPr>
            </w:pPr>
            <w:r w:rsidRPr="005E48B7">
              <w:rPr>
                <w:rFonts w:ascii="Century" w:hAnsi="Century"/>
                <w:sz w:val="14"/>
                <w:szCs w:val="14"/>
              </w:rPr>
              <w:t xml:space="preserve">Página </w:t>
            </w:r>
            <w:r w:rsidRPr="005E48B7">
              <w:rPr>
                <w:rFonts w:ascii="Century" w:hAnsi="Century"/>
                <w:b/>
                <w:bCs/>
                <w:sz w:val="14"/>
                <w:szCs w:val="14"/>
              </w:rPr>
              <w:fldChar w:fldCharType="begin"/>
            </w:r>
            <w:r w:rsidRPr="005E48B7">
              <w:rPr>
                <w:rFonts w:ascii="Century" w:hAnsi="Century"/>
                <w:b/>
                <w:bCs/>
                <w:sz w:val="14"/>
                <w:szCs w:val="14"/>
              </w:rPr>
              <w:instrText>PAGE</w:instrText>
            </w:r>
            <w:r w:rsidRPr="005E48B7">
              <w:rPr>
                <w:rFonts w:ascii="Century" w:hAnsi="Century"/>
                <w:b/>
                <w:bCs/>
                <w:sz w:val="14"/>
                <w:szCs w:val="14"/>
              </w:rPr>
              <w:fldChar w:fldCharType="separate"/>
            </w:r>
            <w:r>
              <w:rPr>
                <w:rFonts w:ascii="Century" w:hAnsi="Century"/>
                <w:b/>
                <w:bCs/>
                <w:noProof/>
                <w:sz w:val="14"/>
                <w:szCs w:val="14"/>
              </w:rPr>
              <w:t>18</w:t>
            </w:r>
            <w:r w:rsidRPr="005E48B7">
              <w:rPr>
                <w:rFonts w:ascii="Century" w:hAnsi="Century"/>
                <w:b/>
                <w:bCs/>
                <w:sz w:val="14"/>
                <w:szCs w:val="14"/>
              </w:rPr>
              <w:fldChar w:fldCharType="end"/>
            </w:r>
            <w:r w:rsidRPr="005E48B7">
              <w:rPr>
                <w:rFonts w:ascii="Century" w:hAnsi="Century"/>
                <w:sz w:val="14"/>
                <w:szCs w:val="14"/>
              </w:rPr>
              <w:t xml:space="preserve"> de </w:t>
            </w:r>
            <w:r w:rsidRPr="005E48B7">
              <w:rPr>
                <w:rFonts w:ascii="Century" w:hAnsi="Century"/>
                <w:b/>
                <w:bCs/>
                <w:sz w:val="14"/>
                <w:szCs w:val="14"/>
              </w:rPr>
              <w:fldChar w:fldCharType="begin"/>
            </w:r>
            <w:r w:rsidRPr="005E48B7">
              <w:rPr>
                <w:rFonts w:ascii="Century" w:hAnsi="Century"/>
                <w:b/>
                <w:bCs/>
                <w:sz w:val="14"/>
                <w:szCs w:val="14"/>
              </w:rPr>
              <w:instrText>NUMPAGES</w:instrText>
            </w:r>
            <w:r w:rsidRPr="005E48B7">
              <w:rPr>
                <w:rFonts w:ascii="Century" w:hAnsi="Century"/>
                <w:b/>
                <w:bCs/>
                <w:sz w:val="14"/>
                <w:szCs w:val="14"/>
              </w:rPr>
              <w:fldChar w:fldCharType="separate"/>
            </w:r>
            <w:r>
              <w:rPr>
                <w:rFonts w:ascii="Century" w:hAnsi="Century"/>
                <w:b/>
                <w:bCs/>
                <w:noProof/>
                <w:sz w:val="14"/>
                <w:szCs w:val="14"/>
              </w:rPr>
              <w:t>18</w:t>
            </w:r>
            <w:r w:rsidRPr="005E48B7">
              <w:rPr>
                <w:rFonts w:ascii="Century" w:hAnsi="Century"/>
                <w:b/>
                <w:bCs/>
                <w:sz w:val="14"/>
                <w:szCs w:val="14"/>
              </w:rPr>
              <w:fldChar w:fldCharType="end"/>
            </w:r>
          </w:p>
        </w:sdtContent>
      </w:sdt>
    </w:sdtContent>
  </w:sdt>
  <w:p w:rsidR="003F4C4B" w:rsidRDefault="00BE2F1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F4C4B" w:rsidRPr="005E48B7" w:rsidRDefault="0004004F" w:rsidP="00F10586">
            <w:pPr>
              <w:pStyle w:val="Piedepgina"/>
              <w:jc w:val="right"/>
              <w:rPr>
                <w:rFonts w:ascii="Century" w:hAnsi="Century"/>
                <w:sz w:val="14"/>
                <w:szCs w:val="14"/>
              </w:rPr>
            </w:pPr>
            <w:r w:rsidRPr="005E48B7">
              <w:rPr>
                <w:rFonts w:ascii="Century" w:hAnsi="Century"/>
                <w:sz w:val="14"/>
                <w:szCs w:val="14"/>
              </w:rPr>
              <w:t xml:space="preserve">Página </w:t>
            </w:r>
            <w:r w:rsidRPr="005E48B7">
              <w:rPr>
                <w:rFonts w:ascii="Century" w:hAnsi="Century"/>
                <w:bCs/>
                <w:sz w:val="14"/>
                <w:szCs w:val="14"/>
              </w:rPr>
              <w:fldChar w:fldCharType="begin"/>
            </w:r>
            <w:r w:rsidRPr="005E48B7">
              <w:rPr>
                <w:rFonts w:ascii="Century" w:hAnsi="Century"/>
                <w:bCs/>
                <w:sz w:val="14"/>
                <w:szCs w:val="14"/>
              </w:rPr>
              <w:instrText>PAGE</w:instrText>
            </w:r>
            <w:r w:rsidRPr="005E48B7">
              <w:rPr>
                <w:rFonts w:ascii="Century" w:hAnsi="Century"/>
                <w:bCs/>
                <w:sz w:val="14"/>
                <w:szCs w:val="14"/>
              </w:rPr>
              <w:fldChar w:fldCharType="separate"/>
            </w:r>
            <w:r w:rsidR="00E71393">
              <w:rPr>
                <w:rFonts w:ascii="Century" w:hAnsi="Century"/>
                <w:bCs/>
                <w:noProof/>
                <w:sz w:val="14"/>
                <w:szCs w:val="14"/>
              </w:rPr>
              <w:t>1</w:t>
            </w:r>
            <w:r w:rsidRPr="005E48B7">
              <w:rPr>
                <w:rFonts w:ascii="Century" w:hAnsi="Century"/>
                <w:bCs/>
                <w:sz w:val="14"/>
                <w:szCs w:val="14"/>
              </w:rPr>
              <w:fldChar w:fldCharType="end"/>
            </w:r>
            <w:r w:rsidRPr="005E48B7">
              <w:rPr>
                <w:rFonts w:ascii="Century" w:hAnsi="Century"/>
                <w:sz w:val="14"/>
                <w:szCs w:val="14"/>
              </w:rPr>
              <w:t xml:space="preserve"> de </w:t>
            </w:r>
            <w:r w:rsidRPr="005E48B7">
              <w:rPr>
                <w:rFonts w:ascii="Century" w:hAnsi="Century"/>
                <w:bCs/>
                <w:sz w:val="14"/>
                <w:szCs w:val="14"/>
              </w:rPr>
              <w:fldChar w:fldCharType="begin"/>
            </w:r>
            <w:r w:rsidRPr="005E48B7">
              <w:rPr>
                <w:rFonts w:ascii="Century" w:hAnsi="Century"/>
                <w:bCs/>
                <w:sz w:val="14"/>
                <w:szCs w:val="14"/>
              </w:rPr>
              <w:instrText>NUMPAGES</w:instrText>
            </w:r>
            <w:r w:rsidRPr="005E48B7">
              <w:rPr>
                <w:rFonts w:ascii="Century" w:hAnsi="Century"/>
                <w:bCs/>
                <w:sz w:val="14"/>
                <w:szCs w:val="14"/>
              </w:rPr>
              <w:fldChar w:fldCharType="separate"/>
            </w:r>
            <w:r w:rsidR="00E71393">
              <w:rPr>
                <w:rFonts w:ascii="Century" w:hAnsi="Century"/>
                <w:bCs/>
                <w:noProof/>
                <w:sz w:val="14"/>
                <w:szCs w:val="14"/>
              </w:rPr>
              <w:t>16</w:t>
            </w:r>
            <w:r w:rsidRPr="005E48B7">
              <w:rPr>
                <w:rFonts w:ascii="Century" w:hAnsi="Century"/>
                <w:bCs/>
                <w:sz w:val="14"/>
                <w:szCs w:val="14"/>
              </w:rPr>
              <w:fldChar w:fldCharType="end"/>
            </w:r>
          </w:p>
        </w:sdtContent>
      </w:sdt>
    </w:sdtContent>
  </w:sdt>
  <w:p w:rsidR="003F4C4B" w:rsidRPr="005E48B7" w:rsidRDefault="00BE2F18">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4B" w:rsidRDefault="00BE2F18" w:rsidP="005E48B7">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F18" w:rsidRDefault="00BE2F18">
      <w:pPr>
        <w:spacing w:after="0" w:line="240" w:lineRule="auto"/>
      </w:pPr>
      <w:r>
        <w:separator/>
      </w:r>
    </w:p>
  </w:footnote>
  <w:footnote w:type="continuationSeparator" w:id="0">
    <w:p w:rsidR="00BE2F18" w:rsidRDefault="00BE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4B" w:rsidRDefault="00BE2F18">
    <w:pPr>
      <w:pStyle w:val="Encabezado"/>
      <w:framePr w:wrap="around" w:vAnchor="text" w:hAnchor="margin" w:xAlign="center" w:y="1"/>
      <w:rPr>
        <w:rStyle w:val="Nmerodepgina"/>
      </w:rPr>
    </w:pPr>
  </w:p>
  <w:p w:rsidR="003F4C4B" w:rsidRDefault="00BE2F1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4B" w:rsidRPr="0004004F" w:rsidRDefault="00BE2F18">
    <w:pPr>
      <w:pStyle w:val="Encabezado"/>
      <w:jc w:val="right"/>
      <w:rPr>
        <w:color w:val="7F7F7F"/>
      </w:rPr>
    </w:pPr>
  </w:p>
  <w:p w:rsidR="003F4C4B" w:rsidRPr="0004004F" w:rsidRDefault="00BE2F18">
    <w:pPr>
      <w:pStyle w:val="Encabezado"/>
      <w:jc w:val="right"/>
      <w:rPr>
        <w:color w:val="7F7F7F"/>
      </w:rPr>
    </w:pPr>
  </w:p>
  <w:p w:rsidR="003F4C4B" w:rsidRPr="0004004F" w:rsidRDefault="00BE2F18">
    <w:pPr>
      <w:pStyle w:val="Encabezado"/>
      <w:jc w:val="right"/>
      <w:rPr>
        <w:color w:val="7F7F7F"/>
      </w:rPr>
    </w:pPr>
  </w:p>
  <w:p w:rsidR="003F4C4B" w:rsidRPr="0004004F" w:rsidRDefault="00BE2F18">
    <w:pPr>
      <w:pStyle w:val="Encabezado"/>
      <w:jc w:val="right"/>
      <w:rPr>
        <w:color w:val="7F7F7F"/>
      </w:rPr>
    </w:pPr>
  </w:p>
  <w:p w:rsidR="003F4C4B" w:rsidRPr="0004004F" w:rsidRDefault="00BE2F18">
    <w:pPr>
      <w:pStyle w:val="Encabezado"/>
      <w:jc w:val="right"/>
      <w:rPr>
        <w:color w:val="7F7F7F"/>
      </w:rPr>
    </w:pPr>
  </w:p>
  <w:p w:rsidR="003F4C4B" w:rsidRPr="0004004F" w:rsidRDefault="00BE2F18">
    <w:pPr>
      <w:pStyle w:val="Encabezado"/>
      <w:jc w:val="right"/>
      <w:rPr>
        <w:color w:val="7F7F7F"/>
      </w:rPr>
    </w:pPr>
    <w:sdt>
      <w:sdtPr>
        <w:rPr>
          <w:color w:val="7F7F7F"/>
        </w:rPr>
        <w:alias w:val="Título"/>
        <w:tag w:val=""/>
        <w:id w:val="1773900777"/>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r w:rsidR="009E4845">
          <w:rPr>
            <w:color w:val="7F7F7F"/>
          </w:rPr>
          <w:t xml:space="preserve">     </w:t>
        </w:r>
      </w:sdtContent>
    </w:sdt>
  </w:p>
  <w:p w:rsidR="003F4C4B" w:rsidRPr="0004004F" w:rsidRDefault="00BE2F18"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3F4C4B" w:rsidRPr="0004004F" w:rsidRDefault="009E4845">
        <w:pPr>
          <w:pStyle w:val="Encabezado"/>
          <w:jc w:val="right"/>
          <w:rPr>
            <w:color w:val="7F7F7F"/>
          </w:rPr>
        </w:pPr>
        <w:r>
          <w:rPr>
            <w:color w:val="7F7F7F"/>
          </w:rPr>
          <w:t xml:space="preserve">     </w:t>
        </w:r>
      </w:p>
    </w:sdtContent>
  </w:sdt>
  <w:p w:rsidR="003F4C4B" w:rsidRPr="0004004F" w:rsidRDefault="00BE2F18">
    <w:pPr>
      <w:pStyle w:val="Encabezado"/>
      <w:jc w:val="right"/>
      <w:rPr>
        <w:rFonts w:ascii="Century" w:hAnsi="Century"/>
        <w:color w:val="7F7F7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4F"/>
    <w:rsid w:val="0004004F"/>
    <w:rsid w:val="003E0C02"/>
    <w:rsid w:val="009A4D6A"/>
    <w:rsid w:val="009E4845"/>
    <w:rsid w:val="00BE2F18"/>
    <w:rsid w:val="00C557D9"/>
    <w:rsid w:val="00D562D0"/>
    <w:rsid w:val="00E71393"/>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F9C7B-BB04-47D4-8F69-448DC2AB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04004F"/>
    <w:rPr>
      <w:rFonts w:cs="Times New Roman"/>
    </w:rPr>
  </w:style>
  <w:style w:type="paragraph" w:styleId="Encabezado">
    <w:name w:val="header"/>
    <w:basedOn w:val="Normal"/>
    <w:link w:val="EncabezadoCar"/>
    <w:uiPriority w:val="99"/>
    <w:rsid w:val="0004004F"/>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04004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4004F"/>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04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5638</Words>
  <Characters>31015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2018-04-27T15:38:00Z</dcterms:created>
  <dcterms:modified xsi:type="dcterms:W3CDTF">2018-04-27T15:38:00Z</dcterms:modified>
</cp:coreProperties>
</file>